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6C349" w14:textId="77777777" w:rsidR="0065555D" w:rsidRDefault="0065555D" w:rsidP="00FB3903">
      <w:pPr>
        <w:spacing w:after="0" w:line="240" w:lineRule="auto"/>
        <w:jc w:val="center"/>
        <w:rPr>
          <w:rFonts w:cs="Times New Roman"/>
          <w:sz w:val="40"/>
          <w:szCs w:val="40"/>
        </w:rPr>
      </w:pPr>
      <w:bookmarkStart w:id="0" w:name="_GoBack"/>
      <w:bookmarkEnd w:id="0"/>
      <w:r>
        <w:rPr>
          <w:rFonts w:cs="Times New Roman"/>
          <w:sz w:val="40"/>
          <w:szCs w:val="40"/>
        </w:rPr>
        <w:t>The Impact of Tenant Diversification on Spreads and Default Rates for Mortgages on Retail Properties</w:t>
      </w:r>
    </w:p>
    <w:p w14:paraId="2EFEB1B2" w14:textId="77777777" w:rsidR="0065555D" w:rsidRDefault="0065555D" w:rsidP="00FB3903">
      <w:pPr>
        <w:spacing w:after="0" w:line="240" w:lineRule="auto"/>
        <w:jc w:val="center"/>
        <w:rPr>
          <w:rFonts w:cs="Times New Roman"/>
          <w:szCs w:val="24"/>
        </w:rPr>
      </w:pPr>
    </w:p>
    <w:p w14:paraId="7BF3BBE6" w14:textId="77777777" w:rsidR="0065555D" w:rsidRDefault="0065555D" w:rsidP="00FB3903">
      <w:pPr>
        <w:spacing w:after="0" w:line="240" w:lineRule="auto"/>
        <w:jc w:val="center"/>
        <w:rPr>
          <w:rFonts w:cs="Times New Roman"/>
          <w:szCs w:val="24"/>
        </w:rPr>
      </w:pPr>
    </w:p>
    <w:p w14:paraId="507C5646" w14:textId="77777777" w:rsidR="0065555D" w:rsidRDefault="0065555D" w:rsidP="00FB3903">
      <w:pPr>
        <w:spacing w:after="0" w:line="240" w:lineRule="auto"/>
        <w:jc w:val="center"/>
        <w:rPr>
          <w:rFonts w:cs="Times New Roman"/>
          <w:szCs w:val="24"/>
        </w:rPr>
      </w:pPr>
      <w:r>
        <w:rPr>
          <w:rFonts w:cs="Times New Roman"/>
          <w:szCs w:val="24"/>
        </w:rPr>
        <w:t>Brent Ambrose</w:t>
      </w:r>
    </w:p>
    <w:p w14:paraId="4D068EAD" w14:textId="77777777" w:rsidR="0065555D" w:rsidRPr="00F81FB3" w:rsidRDefault="0065555D" w:rsidP="00FB3903">
      <w:pPr>
        <w:spacing w:after="0" w:line="240" w:lineRule="auto"/>
        <w:jc w:val="center"/>
        <w:rPr>
          <w:rFonts w:cstheme="minorHAnsi"/>
          <w:iCs/>
          <w:szCs w:val="24"/>
        </w:rPr>
      </w:pPr>
      <w:r>
        <w:rPr>
          <w:rFonts w:cstheme="minorHAnsi"/>
          <w:iCs/>
          <w:szCs w:val="24"/>
        </w:rPr>
        <w:t xml:space="preserve">The </w:t>
      </w:r>
      <w:proofErr w:type="spellStart"/>
      <w:r>
        <w:rPr>
          <w:rFonts w:cstheme="minorHAnsi"/>
          <w:iCs/>
          <w:szCs w:val="24"/>
        </w:rPr>
        <w:t>Smeal</w:t>
      </w:r>
      <w:proofErr w:type="spellEnd"/>
      <w:r>
        <w:rPr>
          <w:rFonts w:cstheme="minorHAnsi"/>
          <w:iCs/>
          <w:szCs w:val="24"/>
        </w:rPr>
        <w:t xml:space="preserve"> College of Business</w:t>
      </w:r>
    </w:p>
    <w:p w14:paraId="0F9C551F" w14:textId="77777777" w:rsidR="0065555D" w:rsidRPr="00F81FB3" w:rsidRDefault="0065555D" w:rsidP="00FB3903">
      <w:pPr>
        <w:spacing w:after="0" w:line="240" w:lineRule="auto"/>
        <w:jc w:val="center"/>
        <w:rPr>
          <w:rFonts w:cstheme="minorHAnsi"/>
          <w:iCs/>
          <w:szCs w:val="24"/>
        </w:rPr>
      </w:pPr>
      <w:r w:rsidRPr="00F81FB3">
        <w:rPr>
          <w:rFonts w:cstheme="minorHAnsi"/>
          <w:iCs/>
          <w:szCs w:val="24"/>
        </w:rPr>
        <w:t>Th</w:t>
      </w:r>
      <w:r>
        <w:rPr>
          <w:rFonts w:cstheme="minorHAnsi"/>
          <w:iCs/>
          <w:szCs w:val="24"/>
        </w:rPr>
        <w:t>e Pennsylvania State University</w:t>
      </w:r>
    </w:p>
    <w:p w14:paraId="7B7A4AAB" w14:textId="77777777" w:rsidR="0065555D" w:rsidRDefault="0065555D" w:rsidP="00FB3903">
      <w:pPr>
        <w:spacing w:after="0" w:line="240" w:lineRule="auto"/>
        <w:jc w:val="center"/>
        <w:rPr>
          <w:rFonts w:cstheme="minorHAnsi"/>
          <w:iCs/>
          <w:szCs w:val="24"/>
        </w:rPr>
      </w:pPr>
      <w:r w:rsidRPr="00F81FB3">
        <w:rPr>
          <w:rFonts w:cstheme="minorHAnsi"/>
          <w:iCs/>
          <w:szCs w:val="24"/>
        </w:rPr>
        <w:t xml:space="preserve">University Park, PA 16802 </w:t>
      </w:r>
    </w:p>
    <w:p w14:paraId="1D8F7C1B" w14:textId="77777777" w:rsidR="0065555D" w:rsidRDefault="0065555D" w:rsidP="00FB3903">
      <w:pPr>
        <w:spacing w:after="0" w:line="240" w:lineRule="auto"/>
        <w:jc w:val="center"/>
        <w:rPr>
          <w:rFonts w:cs="Times New Roman"/>
          <w:szCs w:val="24"/>
        </w:rPr>
      </w:pPr>
    </w:p>
    <w:p w14:paraId="2498E68F" w14:textId="77777777" w:rsidR="0065555D" w:rsidRDefault="0065555D" w:rsidP="00FB3903">
      <w:pPr>
        <w:spacing w:after="0" w:line="240" w:lineRule="auto"/>
        <w:jc w:val="center"/>
        <w:rPr>
          <w:rFonts w:cs="Times New Roman"/>
          <w:szCs w:val="24"/>
        </w:rPr>
      </w:pPr>
      <w:r>
        <w:rPr>
          <w:rFonts w:cs="Times New Roman"/>
          <w:szCs w:val="24"/>
        </w:rPr>
        <w:t>Michael Shafer</w:t>
      </w:r>
    </w:p>
    <w:p w14:paraId="18D1D21F" w14:textId="77777777" w:rsidR="0065555D" w:rsidRDefault="0065555D" w:rsidP="00FB3903">
      <w:pPr>
        <w:spacing w:after="0" w:line="240" w:lineRule="auto"/>
        <w:jc w:val="center"/>
        <w:rPr>
          <w:rFonts w:cs="Times New Roman"/>
          <w:szCs w:val="24"/>
        </w:rPr>
      </w:pPr>
      <w:r>
        <w:rPr>
          <w:rFonts w:cs="Times New Roman"/>
          <w:szCs w:val="24"/>
        </w:rPr>
        <w:t>School of Business</w:t>
      </w:r>
    </w:p>
    <w:p w14:paraId="44769E64" w14:textId="77777777" w:rsidR="0065555D" w:rsidRDefault="0065555D" w:rsidP="00FB3903">
      <w:pPr>
        <w:spacing w:after="0" w:line="240" w:lineRule="auto"/>
        <w:jc w:val="center"/>
        <w:rPr>
          <w:rFonts w:cs="Times New Roman"/>
          <w:szCs w:val="24"/>
        </w:rPr>
      </w:pPr>
      <w:r>
        <w:rPr>
          <w:rFonts w:cs="Times New Roman"/>
          <w:szCs w:val="24"/>
        </w:rPr>
        <w:t>Providence College</w:t>
      </w:r>
    </w:p>
    <w:p w14:paraId="15A745D6" w14:textId="77777777" w:rsidR="0065555D" w:rsidRDefault="0065555D" w:rsidP="00FB3903">
      <w:pPr>
        <w:spacing w:after="0" w:line="240" w:lineRule="auto"/>
        <w:jc w:val="center"/>
        <w:rPr>
          <w:rFonts w:cs="Times New Roman"/>
          <w:szCs w:val="24"/>
        </w:rPr>
      </w:pPr>
      <w:r>
        <w:rPr>
          <w:rFonts w:cs="Times New Roman"/>
          <w:szCs w:val="24"/>
        </w:rPr>
        <w:t>Providence, RI 02918</w:t>
      </w:r>
    </w:p>
    <w:p w14:paraId="4D2EDE9C" w14:textId="77777777" w:rsidR="0065555D" w:rsidRDefault="00832C5B" w:rsidP="00FB3903">
      <w:pPr>
        <w:spacing w:after="0" w:line="240" w:lineRule="auto"/>
        <w:jc w:val="center"/>
        <w:rPr>
          <w:rFonts w:cstheme="minorHAnsi"/>
          <w:iCs/>
          <w:szCs w:val="24"/>
        </w:rPr>
      </w:pPr>
      <w:r>
        <w:rPr>
          <w:rFonts w:cstheme="minorHAnsi"/>
          <w:iCs/>
          <w:szCs w:val="24"/>
        </w:rPr>
        <w:t>Email: mshafer@providence.edu</w:t>
      </w:r>
    </w:p>
    <w:p w14:paraId="1A1EE589" w14:textId="77777777" w:rsidR="00FB3903" w:rsidRDefault="00FB3903" w:rsidP="00FB3903">
      <w:pPr>
        <w:spacing w:after="0" w:line="240" w:lineRule="auto"/>
        <w:jc w:val="center"/>
        <w:rPr>
          <w:rFonts w:cstheme="minorHAnsi"/>
          <w:iCs/>
          <w:szCs w:val="24"/>
        </w:rPr>
      </w:pPr>
      <w:r>
        <w:rPr>
          <w:rFonts w:cstheme="minorHAnsi"/>
          <w:iCs/>
          <w:szCs w:val="24"/>
        </w:rPr>
        <w:t>Phone: (401) 865-1928</w:t>
      </w:r>
    </w:p>
    <w:p w14:paraId="2E586A99" w14:textId="77777777" w:rsidR="00795694" w:rsidRDefault="00795694" w:rsidP="00FB3903">
      <w:pPr>
        <w:spacing w:after="0" w:line="240" w:lineRule="auto"/>
        <w:jc w:val="center"/>
        <w:rPr>
          <w:rFonts w:cstheme="minorHAnsi"/>
          <w:iCs/>
          <w:szCs w:val="24"/>
        </w:rPr>
      </w:pPr>
      <w:r>
        <w:rPr>
          <w:rFonts w:cstheme="minorHAnsi"/>
          <w:iCs/>
          <w:szCs w:val="24"/>
        </w:rPr>
        <w:t>Fax: (</w:t>
      </w:r>
      <w:r>
        <w:t>401) 865-2978</w:t>
      </w:r>
    </w:p>
    <w:p w14:paraId="10FE4168" w14:textId="77777777" w:rsidR="0065555D" w:rsidRDefault="0065555D" w:rsidP="00FB3903">
      <w:pPr>
        <w:spacing w:line="240" w:lineRule="auto"/>
        <w:jc w:val="center"/>
        <w:rPr>
          <w:rFonts w:cs="Times New Roman"/>
          <w:sz w:val="22"/>
          <w:szCs w:val="24"/>
        </w:rPr>
      </w:pPr>
    </w:p>
    <w:p w14:paraId="051FF3BF" w14:textId="77777777" w:rsidR="0065555D" w:rsidRPr="00ED16BE" w:rsidRDefault="0065555D" w:rsidP="00FB3903">
      <w:pPr>
        <w:spacing w:after="0" w:line="240" w:lineRule="auto"/>
        <w:jc w:val="center"/>
        <w:rPr>
          <w:rFonts w:cs="Times New Roman"/>
          <w:szCs w:val="24"/>
        </w:rPr>
      </w:pPr>
      <w:r>
        <w:rPr>
          <w:rFonts w:cs="Times New Roman"/>
          <w:szCs w:val="24"/>
        </w:rPr>
        <w:t>Yildiray Yildirim</w:t>
      </w:r>
    </w:p>
    <w:p w14:paraId="35D6AC5F" w14:textId="77777777" w:rsidR="0065555D" w:rsidRDefault="0065555D" w:rsidP="00FB3903">
      <w:pPr>
        <w:spacing w:after="0" w:line="240" w:lineRule="auto"/>
        <w:jc w:val="center"/>
        <w:rPr>
          <w:rFonts w:cs="Times New Roman"/>
          <w:szCs w:val="24"/>
        </w:rPr>
      </w:pPr>
      <w:proofErr w:type="spellStart"/>
      <w:r>
        <w:rPr>
          <w:rFonts w:cs="Times New Roman"/>
          <w:szCs w:val="24"/>
        </w:rPr>
        <w:t>Zicklin</w:t>
      </w:r>
      <w:proofErr w:type="spellEnd"/>
      <w:r>
        <w:rPr>
          <w:rFonts w:cs="Times New Roman"/>
          <w:szCs w:val="24"/>
        </w:rPr>
        <w:t xml:space="preserve"> School of Business</w:t>
      </w:r>
    </w:p>
    <w:p w14:paraId="079F8504" w14:textId="77777777" w:rsidR="0065555D" w:rsidRDefault="0065555D" w:rsidP="00FB3903">
      <w:pPr>
        <w:spacing w:after="0" w:line="240" w:lineRule="auto"/>
        <w:jc w:val="center"/>
        <w:rPr>
          <w:rFonts w:cs="Times New Roman"/>
          <w:szCs w:val="24"/>
        </w:rPr>
      </w:pPr>
      <w:r>
        <w:rPr>
          <w:rFonts w:cs="Times New Roman"/>
          <w:szCs w:val="24"/>
        </w:rPr>
        <w:t>Baruch College</w:t>
      </w:r>
    </w:p>
    <w:p w14:paraId="0DBEAF64" w14:textId="77777777" w:rsidR="0065555D" w:rsidRDefault="0065555D" w:rsidP="00FB3903">
      <w:pPr>
        <w:spacing w:after="0" w:line="240" w:lineRule="auto"/>
        <w:jc w:val="center"/>
        <w:rPr>
          <w:rFonts w:cs="Times New Roman"/>
          <w:szCs w:val="24"/>
        </w:rPr>
      </w:pPr>
      <w:r>
        <w:rPr>
          <w:rFonts w:cs="Times New Roman"/>
          <w:szCs w:val="24"/>
        </w:rPr>
        <w:t>New York, NY 10010</w:t>
      </w:r>
    </w:p>
    <w:sdt>
      <w:sdtPr>
        <w:rPr>
          <w:rFonts w:cs="Times New Roman"/>
          <w:sz w:val="22"/>
          <w:szCs w:val="24"/>
        </w:rPr>
        <w:id w:val="11067256"/>
        <w:docPartObj>
          <w:docPartGallery w:val="Cover Pages"/>
          <w:docPartUnique/>
        </w:docPartObj>
      </w:sdtPr>
      <w:sdtEndPr>
        <w:rPr>
          <w:sz w:val="24"/>
        </w:rPr>
      </w:sdtEndPr>
      <w:sdtContent>
        <w:p w14:paraId="675B46FF" w14:textId="77777777" w:rsidR="0065555D" w:rsidRDefault="0065555D" w:rsidP="00FB3903">
          <w:pPr>
            <w:spacing w:line="240" w:lineRule="auto"/>
            <w:jc w:val="center"/>
            <w:rPr>
              <w:rFonts w:cs="Times New Roman"/>
              <w:sz w:val="22"/>
              <w:szCs w:val="24"/>
            </w:rPr>
          </w:pPr>
        </w:p>
        <w:p w14:paraId="33BFA344" w14:textId="77777777" w:rsidR="0065555D" w:rsidRDefault="0065555D" w:rsidP="00FB3903">
          <w:pPr>
            <w:spacing w:line="240" w:lineRule="auto"/>
            <w:jc w:val="center"/>
            <w:rPr>
              <w:rFonts w:cs="Times New Roman"/>
              <w:sz w:val="22"/>
              <w:szCs w:val="24"/>
            </w:rPr>
          </w:pPr>
        </w:p>
        <w:p w14:paraId="59E7407E" w14:textId="77777777" w:rsidR="0065555D" w:rsidRPr="00D04203" w:rsidRDefault="0065555D" w:rsidP="00D04203">
          <w:pPr>
            <w:spacing w:line="240" w:lineRule="auto"/>
            <w:jc w:val="left"/>
            <w:rPr>
              <w:rFonts w:cs="Times New Roman"/>
              <w:b/>
              <w:szCs w:val="24"/>
            </w:rPr>
          </w:pPr>
          <w:r w:rsidRPr="00CF66CD">
            <w:rPr>
              <w:rFonts w:cs="Times New Roman"/>
              <w:b/>
              <w:szCs w:val="24"/>
            </w:rPr>
            <w:t>Abstract</w:t>
          </w:r>
          <w:r w:rsidR="00D83951">
            <w:rPr>
              <w:rFonts w:cs="Times New Roman"/>
              <w:b/>
              <w:szCs w:val="24"/>
            </w:rPr>
            <w:t xml:space="preserve"> </w:t>
          </w:r>
          <w:r>
            <w:rPr>
              <w:rFonts w:cs="Times New Roman"/>
              <w:szCs w:val="24"/>
            </w:rPr>
            <w:t xml:space="preserve">We use an empirical model of commercial mortgage spreads to examine how tenant diversification impacts credit spreads for mortgages on retail properties. We find that mortgages on properties with a highly diversified tenant base have spreads that are up to 7.1 basis points higher than spreads on mortgages for single-tenant properties, but that mortgages on properties with moderate levels of tenant diversification have spreads that are up to 5.2 basis points lower than mortgages on single-tenant properties. The spread discount for mortgages on properties with moderate levels of tenant diversification disappears when the lease of the property’s largest tenant expires before the loan matures. Despite the spread discount that is given to properties with moderate levels of tenant diversification, we find that the likelihood with which a mortgage goes into default increases as tenant diversification increases. </w:t>
          </w:r>
        </w:p>
      </w:sdtContent>
    </w:sdt>
    <w:p w14:paraId="17A204FB" w14:textId="77777777" w:rsidR="0065555D" w:rsidRDefault="0065555D" w:rsidP="00FB3903">
      <w:pPr>
        <w:spacing w:line="240" w:lineRule="auto"/>
      </w:pPr>
    </w:p>
    <w:p w14:paraId="3DA5D78B" w14:textId="77777777" w:rsidR="0065555D" w:rsidRPr="005F5E8E" w:rsidRDefault="00D04203" w:rsidP="00FB3903">
      <w:pPr>
        <w:spacing w:line="240" w:lineRule="auto"/>
        <w:rPr>
          <w:rFonts w:cs="Times New Roman"/>
          <w:szCs w:val="24"/>
        </w:rPr>
      </w:pPr>
      <w:r w:rsidRPr="00D04203">
        <w:rPr>
          <w:b/>
        </w:rPr>
        <w:t>Keywords</w:t>
      </w:r>
      <w:r w:rsidR="00D83951">
        <w:t xml:space="preserve"> </w:t>
      </w:r>
      <w:r w:rsidR="0065555D">
        <w:t>Commercial mortgages, mortgage spreads,</w:t>
      </w:r>
      <w:r w:rsidR="00C24EB6">
        <w:t xml:space="preserve"> mortgage default rates,</w:t>
      </w:r>
      <w:r w:rsidR="0065555D">
        <w:t xml:space="preserve"> tenant diversification</w:t>
      </w:r>
    </w:p>
    <w:p w14:paraId="1E4AB87B" w14:textId="77777777" w:rsidR="005B55E1" w:rsidRDefault="005B55E1" w:rsidP="00FB3903">
      <w:pPr>
        <w:spacing w:line="240" w:lineRule="auto"/>
        <w:jc w:val="left"/>
        <w:rPr>
          <w:b/>
        </w:rPr>
      </w:pPr>
    </w:p>
    <w:p w14:paraId="3393F703" w14:textId="77777777" w:rsidR="0065555D" w:rsidRDefault="00D04203" w:rsidP="00FB3903">
      <w:pPr>
        <w:spacing w:line="240" w:lineRule="auto"/>
        <w:jc w:val="left"/>
      </w:pPr>
      <w:r w:rsidRPr="00D04203">
        <w:rPr>
          <w:b/>
        </w:rPr>
        <w:t>JEL Codes</w:t>
      </w:r>
      <w:r>
        <w:rPr>
          <w:b/>
        </w:rPr>
        <w:t xml:space="preserve"> </w:t>
      </w:r>
      <w:r w:rsidR="0065555D">
        <w:t>G21, R30</w:t>
      </w:r>
    </w:p>
    <w:p w14:paraId="4E780DFF" w14:textId="77777777" w:rsidR="00C24EB6" w:rsidRDefault="00C24EB6" w:rsidP="00FB3903">
      <w:pPr>
        <w:spacing w:line="240" w:lineRule="auto"/>
        <w:jc w:val="left"/>
      </w:pPr>
    </w:p>
    <w:p w14:paraId="6EBDDCA8" w14:textId="77777777" w:rsidR="00C24EB6" w:rsidRDefault="00C24EB6" w:rsidP="00C24EB6">
      <w:pPr>
        <w:spacing w:line="240" w:lineRule="auto"/>
      </w:pPr>
      <w:r w:rsidRPr="00D04203">
        <w:rPr>
          <w:b/>
        </w:rPr>
        <w:t>Acknowledgements</w:t>
      </w:r>
      <w:r w:rsidR="00D04203">
        <w:t xml:space="preserve"> </w:t>
      </w:r>
      <w:r w:rsidRPr="00C24EB6">
        <w:t xml:space="preserve">We thank JPMorgan Chase for providing access to data from the Trepp Data Feed and for providing valuable feedback on the paper. We thank John Clapp, Richard Green, </w:t>
      </w:r>
      <w:proofErr w:type="spellStart"/>
      <w:r w:rsidRPr="00C24EB6">
        <w:t>Gianluca</w:t>
      </w:r>
      <w:proofErr w:type="spellEnd"/>
      <w:r w:rsidRPr="00C24EB6">
        <w:t xml:space="preserve"> </w:t>
      </w:r>
      <w:proofErr w:type="spellStart"/>
      <w:r w:rsidRPr="00C24EB6">
        <w:t>Marcato</w:t>
      </w:r>
      <w:proofErr w:type="spellEnd"/>
      <w:r w:rsidRPr="00C24EB6">
        <w:t xml:space="preserve">, Andy Naranjo, Edward Reardon, </w:t>
      </w:r>
      <w:r w:rsidR="00762BFC">
        <w:t>S</w:t>
      </w:r>
      <w:r w:rsidRPr="00C24EB6">
        <w:t xml:space="preserve">ergey </w:t>
      </w:r>
      <w:proofErr w:type="spellStart"/>
      <w:r w:rsidRPr="00C24EB6">
        <w:t>Tsyplakov</w:t>
      </w:r>
      <w:proofErr w:type="spellEnd"/>
      <w:r w:rsidRPr="00C24EB6">
        <w:t>, and seminar participants at the 2015 AREUEA-ASSA meetings in Boston, The Homer Hoyt Institute, and Providence College for their helpful comments. All errors and omissions are our own.</w:t>
      </w:r>
    </w:p>
    <w:p w14:paraId="04C6FDE4" w14:textId="77777777" w:rsidR="00C24EB6" w:rsidRDefault="00C24EB6" w:rsidP="00FB3903">
      <w:pPr>
        <w:spacing w:line="240" w:lineRule="auto"/>
        <w:jc w:val="left"/>
        <w:sectPr w:rsidR="00C24EB6" w:rsidSect="00FB3903">
          <w:footerReference w:type="default" r:id="rId8"/>
          <w:pgSz w:w="12240" w:h="15840"/>
          <w:pgMar w:top="1440" w:right="1440" w:bottom="1440" w:left="1440" w:header="720" w:footer="720" w:gutter="0"/>
          <w:cols w:space="720"/>
          <w:docGrid w:linePitch="360"/>
        </w:sectPr>
      </w:pPr>
    </w:p>
    <w:p w14:paraId="6106B3D2" w14:textId="77777777" w:rsidR="0065555D" w:rsidRPr="00D83951" w:rsidRDefault="00D83951" w:rsidP="00D83951">
      <w:pPr>
        <w:rPr>
          <w:b/>
          <w:sz w:val="28"/>
        </w:rPr>
      </w:pPr>
      <w:r>
        <w:rPr>
          <w:b/>
          <w:sz w:val="28"/>
        </w:rPr>
        <w:lastRenderedPageBreak/>
        <w:t xml:space="preserve">1 </w:t>
      </w:r>
      <w:r w:rsidR="0065555D" w:rsidRPr="00D83951">
        <w:rPr>
          <w:b/>
          <w:sz w:val="28"/>
        </w:rPr>
        <w:t>Introduction</w:t>
      </w:r>
    </w:p>
    <w:p w14:paraId="592D6EA2" w14:textId="77777777" w:rsidR="0065555D" w:rsidRDefault="0065555D" w:rsidP="00FB3903">
      <w:pPr>
        <w:ind w:firstLine="432"/>
      </w:pPr>
      <w:r>
        <w:t xml:space="preserve">Traditional portfolio theory dictates that a greater degree of diversification leads to a greater amount of safety for investors. Considering that a commercial property’s value is effectively reliant on cash flows that are generated by a portfolio of tenants, it is natural to assume that commercial properties with greater diversification in their tenant mix and lease terms (i.e., a large rent roll) should have more stable cash flows than properties that are less diversified. If this is indeed the case, then mortgage lenders should recognize the benefits of tenant diversification by offering lower mortgage spreads to properties whose tenant base is more diverse than similar, less diverse properties. However, given the fixed physical size of commercial properties, there may also be benefits to limiting the degree of tenant diversification. For instance, tenants that lease larger amounts of space are likely to be more creditworthy and to provide property owners with rental payments that are stable and predictable. </w:t>
      </w:r>
    </w:p>
    <w:p w14:paraId="3EFA138B" w14:textId="77777777" w:rsidR="0065555D" w:rsidRDefault="0065555D" w:rsidP="00FB3903">
      <w:pPr>
        <w:ind w:firstLine="432"/>
      </w:pPr>
      <w:r>
        <w:t xml:space="preserve">In this paper, we empirically investigate how the structure of a property’s rent roll influences the credit spreads charged by commercial mortgage lenders. Our analysis suggests a U-shape pattern indicating that lenders value moderate levels of tenant diversification, but that properties with the highest levels of tenant diversification have spreads that are higher than spreads on mortgages for single-tenant properties. However, these results are sensitive to the relation between the expiration date on the lease of the property’s largest tenant and the maturity date of the mortgage. We find that the U-shaped interest rate spread pattern disappears when the largest tenant’s lease expires before the mortgage matures. Our findings confirm the importance of tenant diversification and lease rollover risk in mortgage underwriting. </w:t>
      </w:r>
    </w:p>
    <w:p w14:paraId="1ACC9B68" w14:textId="77777777" w:rsidR="0065555D" w:rsidRDefault="0065555D" w:rsidP="00FB3903">
      <w:pPr>
        <w:ind w:firstLine="432"/>
      </w:pPr>
      <w:r>
        <w:t xml:space="preserve">In addition to our analysis of commercial mortgage spreads, we examine how a property’s rent roll influences mortgage default rates. We find that the likelihood with which a mortgage </w:t>
      </w:r>
      <w:r>
        <w:lastRenderedPageBreak/>
        <w:t xml:space="preserve">defaults increases as the level of tenant diversification on the property increases. Thus, increasing levels of tenant diversification are associated with increasing levels of default risk. We also find that lease rollover risk increases default risk regardless of how diversified a property’s rent roll is. Overall, our analysis confirms that a property’s tenant portfolio and lease structure is important in assessing the riskiness of commercial mortgages. </w:t>
      </w:r>
    </w:p>
    <w:p w14:paraId="3672AB71" w14:textId="77777777" w:rsidR="0065555D" w:rsidRDefault="0065555D" w:rsidP="00FB3903">
      <w:pPr>
        <w:ind w:firstLine="432"/>
      </w:pPr>
      <w:r>
        <w:t xml:space="preserve">There is an extensive literature documenting the importance of tenant characteristics and the structure of tenant portfolios. For example, </w:t>
      </w:r>
      <w:r>
        <w:rPr>
          <w:noProof/>
        </w:rPr>
        <w:t>Colwell and Munneke (1998)</w:t>
      </w:r>
      <w:r>
        <w:t xml:space="preserve"> note that a landlord adds value to a portfolio of leases by bringing together a diverse group of tenants. </w:t>
      </w:r>
      <w:r w:rsidRPr="00356DB2">
        <w:rPr>
          <w:noProof/>
        </w:rPr>
        <w:t>Ciochetti et al. (2003)</w:t>
      </w:r>
      <w:r w:rsidRPr="00356DB2">
        <w:t xml:space="preserve"> acknowledge that </w:t>
      </w:r>
      <w:r>
        <w:t>the credit quality of tenants influences default risk</w:t>
      </w:r>
      <w:r w:rsidRPr="00356DB2">
        <w:t xml:space="preserve">. </w:t>
      </w:r>
      <w:r>
        <w:t>When modeling default risk, t</w:t>
      </w:r>
      <w:r w:rsidRPr="00356DB2">
        <w:t xml:space="preserve">hey attempt to capture the </w:t>
      </w:r>
      <w:r>
        <w:t xml:space="preserve">impact of tenant </w:t>
      </w:r>
      <w:r w:rsidRPr="00356DB2">
        <w:t>credit quality by controlling for property types, as property types are assumed to be heterogeneous with respect to tenant credit riskiness.</w:t>
      </w:r>
      <w:r>
        <w:t xml:space="preserve"> </w:t>
      </w:r>
      <w:r w:rsidRPr="00356DB2">
        <w:rPr>
          <w:noProof/>
        </w:rPr>
        <w:t>Grovenstein et al. (2005)</w:t>
      </w:r>
      <w:r w:rsidRPr="00356DB2">
        <w:t xml:space="preserve"> </w:t>
      </w:r>
      <w:r>
        <w:t>point out</w:t>
      </w:r>
      <w:r w:rsidRPr="00356DB2">
        <w:t xml:space="preserve"> that lenders consider current tenants </w:t>
      </w:r>
      <w:r>
        <w:t xml:space="preserve">and lease structure </w:t>
      </w:r>
      <w:r w:rsidRPr="00356DB2">
        <w:t xml:space="preserve">as part of the risk in commercial mortgage lending. </w:t>
      </w:r>
      <w:r>
        <w:rPr>
          <w:noProof/>
        </w:rPr>
        <w:t>Titman et al. (2005)</w:t>
      </w:r>
      <w:r w:rsidRPr="00356DB2">
        <w:t xml:space="preserve"> view property size as a potential proxy for diversification and expect larger properties to have lower spreads at least in part </w:t>
      </w:r>
      <w:r>
        <w:t xml:space="preserve">due to this diversification. </w:t>
      </w:r>
      <w:r>
        <w:rPr>
          <w:noProof/>
        </w:rPr>
        <w:t>Fuerst and Marcato (2009)</w:t>
      </w:r>
      <w:r>
        <w:t xml:space="preserve"> examine how well a 5-factor model is able to measure and benchmark performance and risk in real estate portfolio management, and one of the factors in their model is the difference in performance between concentrated and diverse properties.</w:t>
      </w:r>
      <w:r>
        <w:rPr>
          <w:rStyle w:val="FootnoteReference"/>
        </w:rPr>
        <w:footnoteReference w:id="1"/>
      </w:r>
      <w:r>
        <w:t xml:space="preserve"> </w:t>
      </w:r>
    </w:p>
    <w:p w14:paraId="6827CC8A" w14:textId="77777777" w:rsidR="0065555D" w:rsidRDefault="0065555D" w:rsidP="00FB3903">
      <w:pPr>
        <w:ind w:firstLine="432"/>
      </w:pPr>
      <w:r>
        <w:t xml:space="preserve">In addition to providing diversification benefits to a property owner’s cash flow stream, having multiple tenants in a given property may provide firms with positive business externalities. For example, </w:t>
      </w:r>
      <w:r>
        <w:rPr>
          <w:noProof/>
        </w:rPr>
        <w:t>Wheaton (2000)</w:t>
      </w:r>
      <w:r>
        <w:t xml:space="preserve"> points out that research has recognized that stores </w:t>
      </w:r>
      <w:r>
        <w:lastRenderedPageBreak/>
        <w:t xml:space="preserve">within shopping centers or business districts generate sales or business traffic externalities amongst themselves. A number of researchers have incorporated these types of positive externalities into theoretical models. For instance, </w:t>
      </w:r>
      <w:r>
        <w:rPr>
          <w:noProof/>
        </w:rPr>
        <w:t>Brueckner (1993)</w:t>
      </w:r>
      <w:r>
        <w:t xml:space="preserve"> builds a model in which developers consider sales externalities when allocating space in a shopping center. </w:t>
      </w:r>
      <w:r>
        <w:rPr>
          <w:noProof/>
        </w:rPr>
        <w:t>Colwell and Munneke (1998)</w:t>
      </w:r>
      <w:r>
        <w:t xml:space="preserve"> explore value created through percentage leases in regional malls and discuss sales externalities as a reason for price discrimination in leases. </w:t>
      </w:r>
      <w:r>
        <w:rPr>
          <w:noProof/>
        </w:rPr>
        <w:t>Cho and Shilling (2007)</w:t>
      </w:r>
      <w:r>
        <w:t xml:space="preserve"> incorporate the effect of sales externalities into a model for valuing retail lease contracts. </w:t>
      </w:r>
    </w:p>
    <w:p w14:paraId="59DEB6B4" w14:textId="77777777" w:rsidR="0065555D" w:rsidRDefault="0065555D" w:rsidP="00FB3903">
      <w:pPr>
        <w:ind w:firstLine="432"/>
      </w:pPr>
      <w:r>
        <w:t xml:space="preserve">While business traffic externalities may exist amongst highly diversified properties, large anchor tenants may generate larger externalities than a number of smaller tenants are able to generate amongst themselves. Research indicates that large tenants get favorable lease terms due to the positive externalities they provide. For example, </w:t>
      </w:r>
      <w:r>
        <w:rPr>
          <w:noProof/>
        </w:rPr>
        <w:t>Pashigian and Gould (1998)</w:t>
      </w:r>
      <w:r>
        <w:t xml:space="preserve"> find that large anchor properties receive rent subsidies and smaller, lesser known stores pay rent premiums due to these externalities. </w:t>
      </w:r>
      <w:r>
        <w:rPr>
          <w:noProof/>
        </w:rPr>
        <w:t>Gould et al. (2005)</w:t>
      </w:r>
      <w:r>
        <w:t xml:space="preserve"> note that, on average, anchor stores occupy over 58% of the total leasable space in a mall, but that they only pay 10% of the total rent collected by the developer. They claim that this can only be explained by the externalities created by large anchor stores. This research suggests business traffic externalities will be larger for a property with a large tenant than they will be for a property that only has a number of small tenants. Thus, lenders may prefer properties that are not highly diversified, as properties with high levels of diversification may not get the full benefit of sales externalities generated by an anchor tenant.</w:t>
      </w:r>
    </w:p>
    <w:p w14:paraId="5013F8CC" w14:textId="77777777" w:rsidR="0065555D" w:rsidRPr="00356DB2" w:rsidRDefault="0065555D" w:rsidP="00FB3903">
      <w:pPr>
        <w:ind w:firstLine="432"/>
      </w:pPr>
      <w:r>
        <w:t xml:space="preserve">In addition to the literature on the impact that a property’s rent roll on has on property values, there is a large literature that investigates the determination of commercial mortgage credit spreads. For example, </w:t>
      </w:r>
      <w:r w:rsidRPr="00356DB2">
        <w:rPr>
          <w:noProof/>
        </w:rPr>
        <w:t>Maris and Segal (2002)</w:t>
      </w:r>
      <w:r w:rsidRPr="00356DB2">
        <w:t xml:space="preserve"> examine</w:t>
      </w:r>
      <w:r>
        <w:t xml:space="preserve"> the determinants of credit spreads </w:t>
      </w:r>
      <w:r>
        <w:lastRenderedPageBreak/>
        <w:t>on commercial mortgage backed security (CMBS) tranches. Their model of credit spreads includes the dollar value of the</w:t>
      </w:r>
      <w:r w:rsidRPr="00356DB2">
        <w:t xml:space="preserve"> CMBS issue, the dollar value of the tranche, and macroeconomic terms such as the difference in the AAA</w:t>
      </w:r>
      <w:r>
        <w:t xml:space="preserve"> corporate bond rate and the 10-</w:t>
      </w:r>
      <w:r w:rsidRPr="00356DB2">
        <w:t xml:space="preserve">year Treasury bond </w:t>
      </w:r>
      <w:r>
        <w:t>rate, the volatility of the 10-</w:t>
      </w:r>
      <w:r w:rsidRPr="00356DB2">
        <w:t>year Treasury bond yield, and the NBER’s</w:t>
      </w:r>
      <w:r>
        <w:t xml:space="preserve"> Experimental Recession Index</w:t>
      </w:r>
      <w:r w:rsidRPr="00356DB2">
        <w:t xml:space="preserve">. </w:t>
      </w:r>
      <w:r>
        <w:t xml:space="preserve">Similarly, </w:t>
      </w:r>
      <w:r w:rsidRPr="00356DB2">
        <w:rPr>
          <w:noProof/>
        </w:rPr>
        <w:t>Nothaft and Freund (2003)</w:t>
      </w:r>
      <w:r w:rsidRPr="00356DB2">
        <w:t xml:space="preserve"> estimate a model of credit spreads for multifamily loans</w:t>
      </w:r>
      <w:r>
        <w:t xml:space="preserve"> with</w:t>
      </w:r>
      <w:r w:rsidRPr="00356DB2">
        <w:t xml:space="preserve"> macroeconomic covariates, such as the A-AAA spre</w:t>
      </w:r>
      <w:r>
        <w:t>ad and the volatility of the 10-</w:t>
      </w:r>
      <w:r w:rsidRPr="00356DB2">
        <w:t>year Treasury bond yield, as well as loan characteristics such as LTV ratios and term to maturity.</w:t>
      </w:r>
      <w:r>
        <w:t xml:space="preserve"> </w:t>
      </w:r>
      <w:r>
        <w:rPr>
          <w:noProof/>
        </w:rPr>
        <w:t>Titman et al. (2005)</w:t>
      </w:r>
      <w:r w:rsidRPr="00356DB2">
        <w:t xml:space="preserve"> </w:t>
      </w:r>
      <w:r>
        <w:t>estimate a cross-sectional</w:t>
      </w:r>
      <w:r w:rsidRPr="00356DB2">
        <w:t xml:space="preserve"> spread model </w:t>
      </w:r>
      <w:r>
        <w:t xml:space="preserve">that </w:t>
      </w:r>
      <w:r w:rsidRPr="00356DB2">
        <w:t>incorporates a number of loan and prop</w:t>
      </w:r>
      <w:r>
        <w:t>erty specific characteristics,</w:t>
      </w:r>
      <w:r w:rsidRPr="00356DB2">
        <w:t xml:space="preserve"> time dummy variables, and a dummy variable indicating </w:t>
      </w:r>
      <w:r>
        <w:t xml:space="preserve">whether or not </w:t>
      </w:r>
      <w:r w:rsidRPr="00356DB2">
        <w:t>the originator of the loan is a large investment bank. They find that</w:t>
      </w:r>
      <w:r>
        <w:t xml:space="preserve"> a number of loan and property characteristics</w:t>
      </w:r>
      <w:r w:rsidRPr="00356DB2">
        <w:t xml:space="preserve"> are significantly related to commercial mortgage spreads.</w:t>
      </w:r>
    </w:p>
    <w:p w14:paraId="293C890C" w14:textId="77777777" w:rsidR="0065555D" w:rsidRDefault="0065555D" w:rsidP="00FB3903">
      <w:pPr>
        <w:ind w:firstLine="432"/>
      </w:pPr>
      <w:r>
        <w:t xml:space="preserve">Research clearly indicates that tenant characteristics and space allocation amongst tenants are important for commercial lenders and property owners. </w:t>
      </w:r>
      <w:r w:rsidRPr="0009235A">
        <w:t xml:space="preserve">However, to our knowledge, none of the existing literature </w:t>
      </w:r>
      <w:r>
        <w:t>provides a direct empirical examination into</w:t>
      </w:r>
      <w:r w:rsidRPr="0009235A">
        <w:t xml:space="preserve"> the impact of tenant diversification on commercial mortgage spreads or default rates.</w:t>
      </w:r>
      <w:r>
        <w:t xml:space="preserve"> In this paper, we seek to bridge this gap in the literature. </w:t>
      </w:r>
    </w:p>
    <w:p w14:paraId="12624A28" w14:textId="77777777" w:rsidR="0065555D" w:rsidRPr="00356DB2" w:rsidRDefault="0065555D" w:rsidP="00FB3903">
      <w:pPr>
        <w:ind w:firstLine="432"/>
      </w:pPr>
      <w:r>
        <w:t>To examine how tenant diversification influences commercial mortgage spreads</w:t>
      </w:r>
      <w:r w:rsidRPr="00356DB2">
        <w:t xml:space="preserve">, we use an empirical model </w:t>
      </w:r>
      <w:r>
        <w:t xml:space="preserve">that is similar to the model of </w:t>
      </w:r>
      <w:r>
        <w:rPr>
          <w:noProof/>
        </w:rPr>
        <w:t>Titman et al. (2005)</w:t>
      </w:r>
      <w:r w:rsidRPr="00356DB2">
        <w:t xml:space="preserve">. </w:t>
      </w:r>
      <w:r>
        <w:t xml:space="preserve">Our model incorporates a number of the same variables to explain commercial mortgage spreads, but we also include measures for tenant diversification and lease rollover risk. In the main specification of our spread model, we use the percent of square footage occupied by a property’s largest lessee as a proxy for the degree of tenant diversification on that property. Using this proxy, we break properties into categories of tenant diversification. </w:t>
      </w:r>
      <w:r w:rsidRPr="00356DB2">
        <w:t xml:space="preserve">We find that </w:t>
      </w:r>
      <w:r>
        <w:t xml:space="preserve">mortgage spreads on </w:t>
      </w:r>
      <w:r w:rsidRPr="00356DB2">
        <w:t xml:space="preserve">properties </w:t>
      </w:r>
      <w:r>
        <w:t xml:space="preserve">with </w:t>
      </w:r>
      <w:r>
        <w:lastRenderedPageBreak/>
        <w:t>moderate levels of tenant diversification are up to 4.88</w:t>
      </w:r>
      <w:r w:rsidRPr="00356DB2">
        <w:t xml:space="preserve"> basis points </w:t>
      </w:r>
      <w:r>
        <w:t>lower than mortgage spreads on</w:t>
      </w:r>
      <w:r w:rsidRPr="00356DB2">
        <w:t xml:space="preserve"> </w:t>
      </w:r>
      <w:r>
        <w:t>single-tenant properties</w:t>
      </w:r>
      <w:r w:rsidRPr="00356DB2">
        <w:t xml:space="preserve">. </w:t>
      </w:r>
      <w:r>
        <w:t xml:space="preserve">However, while spreads are lower for properties with moderate levels of diversification, mortgage spreads on properties with the highest levels of tenant diversification are higher than spreads on single-tenant properties by up to 5.79 basis points. </w:t>
      </w:r>
      <w:r w:rsidRPr="00356DB2">
        <w:t xml:space="preserve">These results </w:t>
      </w:r>
      <w:r>
        <w:t>are consistent with moderate</w:t>
      </w:r>
      <w:r w:rsidRPr="00356DB2">
        <w:t xml:space="preserve"> degree</w:t>
      </w:r>
      <w:r>
        <w:t>s</w:t>
      </w:r>
      <w:r w:rsidRPr="00356DB2">
        <w:t xml:space="preserve"> of </w:t>
      </w:r>
      <w:r>
        <w:t xml:space="preserve">tenant </w:t>
      </w:r>
      <w:r w:rsidRPr="00356DB2">
        <w:t>diversification</w:t>
      </w:r>
      <w:r>
        <w:t xml:space="preserve"> providing greater cash flow stability and thus lowering the risk to making loans on buildings with moderate levels of rent roll diversification.</w:t>
      </w:r>
      <w:r w:rsidRPr="00356DB2">
        <w:t xml:space="preserve"> </w:t>
      </w:r>
    </w:p>
    <w:p w14:paraId="5FC3AE3B" w14:textId="77777777" w:rsidR="0065555D" w:rsidRDefault="0065555D" w:rsidP="00FB3903">
      <w:pPr>
        <w:ind w:firstLine="432"/>
      </w:pPr>
      <w:r w:rsidRPr="00356DB2">
        <w:t xml:space="preserve">We also find that when the largest tenant’s lease expires before the mortgage matures, the discount </w:t>
      </w:r>
      <w:r>
        <w:t>that borrowers receive for having moderate levels of rent roll diversification vanishes</w:t>
      </w:r>
      <w:r w:rsidRPr="00356DB2">
        <w:t xml:space="preserve">. This reflects the increased risk associated with </w:t>
      </w:r>
      <w:r>
        <w:t>the</w:t>
      </w:r>
      <w:r w:rsidRPr="00356DB2">
        <w:t xml:space="preserve"> large tenant’s decision to roll over its lease. </w:t>
      </w:r>
      <w:r>
        <w:t>If the tenant does not renew its lease, then the property owner will lose what is likely the largest source of cash flow on the property, and the remaining tenants will lose the positive externality that is generated by a large tenant. Interestingly, w</w:t>
      </w:r>
      <w:r w:rsidRPr="00356DB2">
        <w:t>e find that this rollover risk is</w:t>
      </w:r>
      <w:r>
        <w:t xml:space="preserve"> not priced for properties with the </w:t>
      </w:r>
      <w:r w:rsidRPr="00356DB2">
        <w:t>high</w:t>
      </w:r>
      <w:r>
        <w:t>est</w:t>
      </w:r>
      <w:r w:rsidRPr="00356DB2">
        <w:t xml:space="preserve"> or low</w:t>
      </w:r>
      <w:r>
        <w:t>est</w:t>
      </w:r>
      <w:r w:rsidRPr="00356DB2">
        <w:t xml:space="preserve"> levels of </w:t>
      </w:r>
      <w:r>
        <w:t xml:space="preserve">tenant </w:t>
      </w:r>
      <w:r w:rsidRPr="00356DB2">
        <w:t xml:space="preserve">diversification. </w:t>
      </w:r>
      <w:r>
        <w:t xml:space="preserve">For highly diversified properties, </w:t>
      </w:r>
      <w:r w:rsidRPr="00356DB2">
        <w:t xml:space="preserve">the </w:t>
      </w:r>
      <w:r>
        <w:t xml:space="preserve">failure of the </w:t>
      </w:r>
      <w:r w:rsidRPr="00356DB2">
        <w:t>largest tenant to roll</w:t>
      </w:r>
      <w:r>
        <w:t xml:space="preserve"> </w:t>
      </w:r>
      <w:r w:rsidRPr="00356DB2">
        <w:t>over its lease will not have a major impact on the cash flows that the property owner receives from its tenants.</w:t>
      </w:r>
      <w:r>
        <w:t xml:space="preserve"> Thus, diversification reduces the rollover risk associated with the property’s largest tenant.</w:t>
      </w:r>
      <w:r w:rsidRPr="00356DB2">
        <w:t xml:space="preserve"> </w:t>
      </w:r>
      <w:r>
        <w:t>However, for properties with lower levels of tenant diversification, losing a large tenant could significantly impact the landlord’s cash flow stream. Despite this, the</w:t>
      </w:r>
      <w:r w:rsidRPr="00356DB2">
        <w:t xml:space="preserve"> </w:t>
      </w:r>
      <w:r>
        <w:t>largest lessee in an undiversified property is unlikely to vacate a</w:t>
      </w:r>
      <w:r w:rsidRPr="00356DB2">
        <w:t xml:space="preserve"> property</w:t>
      </w:r>
      <w:r>
        <w:t xml:space="preserve"> due to the costs of relocating. Thus, rollover risk in properties with low levels of diversification will not have a significant impact on spreads for mortgages on these properties</w:t>
      </w:r>
      <w:r w:rsidRPr="00356DB2">
        <w:t xml:space="preserve">. </w:t>
      </w:r>
    </w:p>
    <w:p w14:paraId="70FFF522" w14:textId="77777777" w:rsidR="0065555D" w:rsidRPr="00356DB2" w:rsidRDefault="0065555D" w:rsidP="00FB3903">
      <w:pPr>
        <w:ind w:firstLine="432"/>
      </w:pPr>
      <w:r>
        <w:t xml:space="preserve">To test the robustness of our results, we compute the Herfindahl-Hirschman Index (HHI) for each property as an alternate proxy for tenant diversification. To calculate a property’s HHI, we </w:t>
      </w:r>
      <w:r>
        <w:lastRenderedPageBreak/>
        <w:t xml:space="preserve">use the percent of square footage occupied by its three largest lessees. The results using HHI to measure diversification are consistent with our findings that use the percent of square footage occupied by the property’s largest tenant as a proxy for tenant diversification. Additionally, we employ a two-stage least squares procedure to adjust for the endogeneity of mortgage spreads and LTVs. The results we obtain in our two-stage procedure are also consistent with our primary results. Thus, our findings about the impact of tenant diversification on mortgage spreads are robust to using different measures of diversification and to adjusting for the simultaneous decision of spreads and LTVs.  </w:t>
      </w:r>
    </w:p>
    <w:p w14:paraId="266C022E" w14:textId="77777777" w:rsidR="0065555D" w:rsidRDefault="0065555D" w:rsidP="00FB3903">
      <w:pPr>
        <w:ind w:firstLine="432"/>
      </w:pPr>
      <w:r>
        <w:t xml:space="preserve">In addition to examining how tenant diversification influences commercial mortgage spreads, we examine the impact of tenant diversification on commercial mortgage default rates. We find that the default risk of commercial mortgages increases monotonically as the level of tenant diversification increases. Thus, while lenders give a spread discount to mortgages on properties with low and moderate levels of tenant diversification, any level of diversification adds to the default risk of a loan. </w:t>
      </w:r>
    </w:p>
    <w:p w14:paraId="189C56AF" w14:textId="77777777" w:rsidR="0065555D" w:rsidRDefault="0065555D" w:rsidP="00FB3903">
      <w:pPr>
        <w:ind w:firstLine="432"/>
      </w:pPr>
      <w:r>
        <w:t>Our finding that tenant diversification increases default risk is somewhat analogous to the string of literature that finds that banks do not gain benefits from diversified loan portfolios, and that banks with diversified portfolios may actually perform worse and have higher levels of risk.</w:t>
      </w:r>
      <w:r>
        <w:rPr>
          <w:rStyle w:val="FootnoteReference"/>
        </w:rPr>
        <w:footnoteReference w:id="2"/>
      </w:r>
      <w:r>
        <w:t xml:space="preserve"> For instance, </w:t>
      </w:r>
      <w:r>
        <w:rPr>
          <w:noProof/>
        </w:rPr>
        <w:t>Acharya et al. (2006)</w:t>
      </w:r>
      <w:r>
        <w:t xml:space="preserve"> find that loan portfolio diversification is not guaranteed to produce superior performance or greater safety for Italian banks. They conclude that diversification deteriorates monitoring effectiveness. </w:t>
      </w:r>
      <w:r>
        <w:rPr>
          <w:noProof/>
        </w:rPr>
        <w:t>Mercieca et al. (2007)</w:t>
      </w:r>
      <w:r>
        <w:t xml:space="preserve"> find that higher loan concentration reduces the risk of insolvency and that loan concentration enables small banks to monitor borrowers more effectively. When examining a set of Chinese banks, </w:t>
      </w:r>
      <w:r>
        <w:rPr>
          <w:noProof/>
        </w:rPr>
        <w:t>Berger et al. (2010)</w:t>
      </w:r>
      <w:r>
        <w:t xml:space="preserve"> find that diversification increases monitoring costs and reduces profits. </w:t>
      </w:r>
      <w:r>
        <w:rPr>
          <w:noProof/>
        </w:rPr>
        <w:t>Tabak et al. (2011)</w:t>
      </w:r>
      <w:r>
        <w:t xml:space="preserve"> find that loan portfolio concentration for Brazilian banks increases bank returns and reduces default risk, leading them to hypothesize that loan concentration increases monitoring efficiency.</w:t>
      </w:r>
    </w:p>
    <w:p w14:paraId="40B6455A" w14:textId="77777777" w:rsidR="0065555D" w:rsidRDefault="0065555D" w:rsidP="00FB3903">
      <w:pPr>
        <w:ind w:firstLine="432"/>
      </w:pPr>
      <w:r>
        <w:t xml:space="preserve">If we view a commercial property as a portfolio of tenants, the property owner and/or the mortgage lender have a distinct interest in ensuring that the property’s tenants are performing well. However, as tenant diversification increases, it becomes increasingly costly to monitor tenants, and monitoring may become less effective. Thus, the reduction in monitoring effectiveness may be at least partially responsible for the increased default risk that results from increased tenant diversification. </w:t>
      </w:r>
    </w:p>
    <w:p w14:paraId="2B8F5601" w14:textId="77777777" w:rsidR="0065555D" w:rsidRDefault="0065555D" w:rsidP="00FB3903">
      <w:pPr>
        <w:ind w:firstLine="432"/>
      </w:pPr>
      <w:r>
        <w:t xml:space="preserve">Our paper adds to the literature on commercial mortgage spreads and default rates by explicitly incorporating the degree of tenant diversification into empirical models of commercial mortgage spreads and default risk. Understanding the influence of tenant diversification is important from both the borrower’s and the lender’s perspective, as borrowers need to understand how lenders perceive tenant structure when determining commercial mortgage interest rates, and lenders need to understand how tenant structure influences commercial mortgage default risk. </w:t>
      </w:r>
    </w:p>
    <w:p w14:paraId="34E322B4" w14:textId="77777777" w:rsidR="0065555D" w:rsidRDefault="0065555D" w:rsidP="00FB3903">
      <w:pPr>
        <w:ind w:firstLine="432"/>
      </w:pPr>
      <w:r>
        <w:t xml:space="preserve">The remainder of this paper is organized as follows. In Section 2, we describe our empirical model of commercial mortgage spread and present the results of our main results. We also examine the robustness of our results to an alternate specification of tenant diversification and to adjusting for the endogeneity of the decision of mortgage spreads and LTVs. In Section 3, we examine how tenant diversification influences the default risk on a commercial mortgage. In the last section, we summarize our main findings and discuss potential directions for future research. </w:t>
      </w:r>
    </w:p>
    <w:p w14:paraId="08B73207" w14:textId="77777777" w:rsidR="0065555D" w:rsidRPr="00D83951" w:rsidRDefault="00D83951" w:rsidP="00D83951">
      <w:pPr>
        <w:rPr>
          <w:b/>
          <w:sz w:val="28"/>
          <w:szCs w:val="28"/>
        </w:rPr>
      </w:pPr>
      <w:r>
        <w:rPr>
          <w:b/>
          <w:sz w:val="28"/>
          <w:szCs w:val="28"/>
        </w:rPr>
        <w:t xml:space="preserve">2 </w:t>
      </w:r>
      <w:r w:rsidR="0065555D" w:rsidRPr="00D83951">
        <w:rPr>
          <w:b/>
          <w:sz w:val="28"/>
          <w:szCs w:val="28"/>
        </w:rPr>
        <w:t>Data and Empirical Model for Commercial Mortgage Spreads</w:t>
      </w:r>
    </w:p>
    <w:p w14:paraId="7706F9D3" w14:textId="77777777" w:rsidR="0065555D" w:rsidRPr="00D83951" w:rsidRDefault="00D83951" w:rsidP="00D83951">
      <w:pPr>
        <w:rPr>
          <w:b/>
          <w:sz w:val="26"/>
          <w:szCs w:val="26"/>
        </w:rPr>
      </w:pPr>
      <w:r>
        <w:rPr>
          <w:b/>
          <w:sz w:val="26"/>
          <w:szCs w:val="26"/>
        </w:rPr>
        <w:t xml:space="preserve">2.1 </w:t>
      </w:r>
      <w:r w:rsidR="0065555D" w:rsidRPr="00D83951">
        <w:rPr>
          <w:b/>
          <w:sz w:val="26"/>
          <w:szCs w:val="26"/>
        </w:rPr>
        <w:t xml:space="preserve">Data </w:t>
      </w:r>
    </w:p>
    <w:p w14:paraId="61AB1833" w14:textId="77777777" w:rsidR="0065555D" w:rsidRDefault="0065555D" w:rsidP="00FB3903">
      <w:pPr>
        <w:ind w:firstLine="576"/>
        <w:rPr>
          <w:rFonts w:cs="Times New Roman"/>
          <w:szCs w:val="24"/>
        </w:rPr>
      </w:pPr>
      <w:r>
        <w:rPr>
          <w:rFonts w:cs="Times New Roman"/>
          <w:szCs w:val="24"/>
        </w:rPr>
        <w:t xml:space="preserve">Our dataset consists of commercial loans originated between January 1998 and March 2012. The data come from </w:t>
      </w:r>
      <w:r w:rsidRPr="007D3342">
        <w:rPr>
          <w:rFonts w:cs="Times New Roman"/>
          <w:szCs w:val="24"/>
        </w:rPr>
        <w:t xml:space="preserve">the Trepp Data </w:t>
      </w:r>
      <w:r>
        <w:rPr>
          <w:rFonts w:cs="Times New Roman"/>
          <w:szCs w:val="24"/>
        </w:rPr>
        <w:t>Feed loan file. Trepp provides loan-level data about the individual loans that compose commercial mortgage-backed securities. The loan file contains a series of tape dates corresponding to the bond payment dates that provide updated information about mortgage, property, and tenant characteristics. In addition, the loan file provides data about the loan both at the time of origination and at the time of securitization. While we seek to isolate loan, tenant, and property characteristics at the time the loan is originated, data at origination are somewhat sparse. Thus, when data at origination are unavailable, we use data at the time the loan is securitized.</w:t>
      </w:r>
      <w:r>
        <w:rPr>
          <w:rStyle w:val="FootnoteReference"/>
          <w:rFonts w:cs="Times New Roman"/>
          <w:szCs w:val="24"/>
        </w:rPr>
        <w:footnoteReference w:id="3"/>
      </w:r>
      <w:r>
        <w:rPr>
          <w:rFonts w:cs="Times New Roman"/>
          <w:szCs w:val="24"/>
        </w:rPr>
        <w:t xml:space="preserve"> If data are not available at either the time of origination or the time of securitization, we use data from the earliest tape date that occurs within 18 months of the loan’s origination. </w:t>
      </w:r>
    </w:p>
    <w:p w14:paraId="7BCC42CD" w14:textId="77777777" w:rsidR="0065555D" w:rsidRPr="00D21213" w:rsidRDefault="0065555D" w:rsidP="00FB3903">
      <w:pPr>
        <w:ind w:firstLine="576"/>
        <w:rPr>
          <w:rFonts w:cs="Times New Roman"/>
          <w:szCs w:val="24"/>
        </w:rPr>
      </w:pPr>
      <w:r>
        <w:rPr>
          <w:rFonts w:cs="Times New Roman"/>
          <w:szCs w:val="24"/>
        </w:rPr>
        <w:t>We restrict our sample to mortgages on retail properties, as we seek to examine mortgages on properties for which tenant diversification is most likely to vary across properties and to be of significant importance to lenders.</w:t>
      </w:r>
      <w:r>
        <w:rPr>
          <w:rStyle w:val="FootnoteReference"/>
          <w:rFonts w:cs="Times New Roman"/>
          <w:szCs w:val="24"/>
        </w:rPr>
        <w:footnoteReference w:id="4"/>
      </w:r>
      <w:r>
        <w:rPr>
          <w:rFonts w:cs="Times New Roman"/>
          <w:szCs w:val="24"/>
        </w:rPr>
        <w:t xml:space="preserve"> Our final dataset consists of 18,815 loans with originations that span from January 1998 to March 2012. The majority of the originations occur between 1998 and 2007, as there was an immense drop in the amount of commercial lending during the time of the recent financial crisis. The mortgage, property, and lessee characteristics that we use in our spread model are discussed below. </w:t>
      </w:r>
    </w:p>
    <w:p w14:paraId="662BB05A" w14:textId="77777777" w:rsidR="0065555D" w:rsidRPr="00D83951" w:rsidRDefault="00D83951" w:rsidP="00D83951">
      <w:pPr>
        <w:rPr>
          <w:b/>
        </w:rPr>
      </w:pPr>
      <w:r>
        <w:rPr>
          <w:b/>
        </w:rPr>
        <w:t xml:space="preserve">2.1.1 </w:t>
      </w:r>
      <w:r w:rsidR="0065555D" w:rsidRPr="00D83951">
        <w:rPr>
          <w:b/>
        </w:rPr>
        <w:t>Mortgage and Property Characteristics</w:t>
      </w:r>
    </w:p>
    <w:p w14:paraId="35194C88" w14:textId="77777777" w:rsidR="0065555D" w:rsidRDefault="0065555D" w:rsidP="00FB3903">
      <w:pPr>
        <w:spacing w:before="240"/>
        <w:ind w:firstLine="720"/>
        <w:rPr>
          <w:rFonts w:cs="Times New Roman"/>
          <w:szCs w:val="24"/>
        </w:rPr>
      </w:pPr>
      <w:r>
        <w:rPr>
          <w:rFonts w:cs="Times New Roman"/>
          <w:szCs w:val="24"/>
        </w:rPr>
        <w:t xml:space="preserve">For each mortgage, we have information about the interest rate, the loan-to-value ratio (LTV), the balloon balance, the original loan balance, and the time until the mortgage matures. We compute the mortgage spread as the difference between the mortgage’s interest rate and the interest rate on a maturity matched Treasury security. Following Titman et al. (2005), we compute the amortization rate as </w:t>
      </w:r>
      <m:oMath>
        <m:r>
          <m:rPr>
            <m:nor/>
          </m:rPr>
          <w:rPr>
            <w:rFonts w:cs="Times New Roman"/>
            <w:szCs w:val="24"/>
          </w:rPr>
          <m:t>1</m:t>
        </m:r>
        <m:r>
          <w:rPr>
            <w:rFonts w:ascii="Cambria Math" w:cs="Times New Roman"/>
            <w:szCs w:val="24"/>
          </w:rPr>
          <m:t>-</m:t>
        </m:r>
        <m:f>
          <m:fPr>
            <m:ctrlPr>
              <w:rPr>
                <w:rFonts w:ascii="Cambria Math" w:hAnsi="Cambria Math" w:cs="Times New Roman"/>
                <w:i/>
                <w:szCs w:val="24"/>
              </w:rPr>
            </m:ctrlPr>
          </m:fPr>
          <m:num>
            <m:r>
              <m:rPr>
                <m:nor/>
              </m:rPr>
              <w:rPr>
                <w:rFonts w:cs="Times New Roman"/>
                <w:szCs w:val="24"/>
              </w:rPr>
              <m:t>balloon balance</m:t>
            </m:r>
          </m:num>
          <m:den>
            <m:r>
              <m:rPr>
                <m:nor/>
              </m:rPr>
              <w:rPr>
                <w:rFonts w:cs="Times New Roman"/>
                <w:szCs w:val="24"/>
              </w:rPr>
              <m:t>original loan balance</m:t>
            </m:r>
          </m:den>
        </m:f>
      </m:oMath>
      <w:r>
        <w:rPr>
          <w:rFonts w:cs="Times New Roman"/>
          <w:sz w:val="20"/>
          <w:szCs w:val="24"/>
        </w:rPr>
        <w:t xml:space="preserve">. </w:t>
      </w:r>
    </w:p>
    <w:p w14:paraId="2699BD19" w14:textId="77777777" w:rsidR="0065555D" w:rsidRDefault="0065555D" w:rsidP="00FB3903">
      <w:pPr>
        <w:spacing w:before="240"/>
        <w:ind w:firstLine="720"/>
        <w:rPr>
          <w:rFonts w:cs="Times New Roman"/>
          <w:szCs w:val="24"/>
        </w:rPr>
      </w:pPr>
      <w:r>
        <w:rPr>
          <w:rFonts w:cs="Times New Roman"/>
          <w:szCs w:val="24"/>
        </w:rPr>
        <w:t>For each property, we collect data on net operating income (NOI) and the property’s appraised value and compute the ratio of NOI to property value. We then adjust nominal property values to real property values using the CPI with 1982-1984 as the base period. We also collect data on the year the property was built to determine the age of the property at the time of origination. Finally, we collect data on the occupancy rate and the property type.</w:t>
      </w:r>
    </w:p>
    <w:p w14:paraId="72F82AB1" w14:textId="77777777" w:rsidR="0065555D" w:rsidRPr="00D83951" w:rsidRDefault="00D83951" w:rsidP="00D83951">
      <w:pPr>
        <w:rPr>
          <w:b/>
        </w:rPr>
      </w:pPr>
      <w:r>
        <w:rPr>
          <w:b/>
        </w:rPr>
        <w:t xml:space="preserve">2.1.2 </w:t>
      </w:r>
      <w:r w:rsidR="0065555D" w:rsidRPr="00D83951">
        <w:rPr>
          <w:b/>
        </w:rPr>
        <w:t>Tenant Characteristics</w:t>
      </w:r>
    </w:p>
    <w:p w14:paraId="358AB480" w14:textId="77777777" w:rsidR="0065555D" w:rsidRDefault="0065555D" w:rsidP="00FB3903">
      <w:pPr>
        <w:ind w:firstLine="720"/>
      </w:pPr>
      <w:r>
        <w:t>We collect information on the percent of square footage occupied by the largest lessee of a property (L1%) to measure the degree of tenant diversification for a given property.</w:t>
      </w:r>
      <w:r>
        <w:rPr>
          <w:rStyle w:val="FootnoteReference"/>
        </w:rPr>
        <w:footnoteReference w:id="5"/>
      </w:r>
      <w:r>
        <w:t xml:space="preserve"> We use this as a proxy for diversification because, as the space occupied by a property’s largest tenant increases, the amount of space available for other tenants decreases. Thus, the more space that is occupied by the largest tenant, the more a property owner is reliant on a single source of cash flow.</w:t>
      </w:r>
    </w:p>
    <w:p w14:paraId="253B5111" w14:textId="77777777" w:rsidR="0065555D" w:rsidRDefault="0065555D" w:rsidP="00FB3903">
      <w:pPr>
        <w:ind w:firstLine="720"/>
      </w:pPr>
      <w:r>
        <w:t xml:space="preserve">In addition to collecting data on the percent of square footage occupied by the property’s largest tenant, we collect data on the expiration date of the largest tenant’s lease. If the largest tenant’s lease expires and the tenant vacates the property, the borrower will lose what is likely the largest source of cash flow from that property. If the lease expiration date occurs before mortgage maturity, the borrower may have difficulty making mortgage payments, indicating that there is lease rollover risk associated with that loan. Therefore, using the mortgage maturity date and the largest tenant’s lease expiration date, we are able to determine if the lender faces the risk that the property’s largest tenant will not roll over its lease (L1 rollover). </w:t>
      </w:r>
    </w:p>
    <w:p w14:paraId="6FA1C659" w14:textId="77777777" w:rsidR="0065555D" w:rsidRPr="00D83951" w:rsidRDefault="00D83951" w:rsidP="00D83951">
      <w:pPr>
        <w:rPr>
          <w:b/>
        </w:rPr>
      </w:pPr>
      <w:r>
        <w:rPr>
          <w:b/>
        </w:rPr>
        <w:t xml:space="preserve">2.1.3 </w:t>
      </w:r>
      <w:r w:rsidR="0065555D" w:rsidRPr="00D83951">
        <w:rPr>
          <w:b/>
        </w:rPr>
        <w:t>Summary Statistics</w:t>
      </w:r>
    </w:p>
    <w:p w14:paraId="2C4347FC" w14:textId="77777777" w:rsidR="0065555D" w:rsidRDefault="0065555D" w:rsidP="00FB3903">
      <w:pPr>
        <w:ind w:firstLine="720"/>
        <w:rPr>
          <w:rFonts w:cs="Times New Roman"/>
          <w:szCs w:val="24"/>
        </w:rPr>
      </w:pPr>
      <w:r w:rsidRPr="008C73FB">
        <w:rPr>
          <w:rFonts w:eastAsia="Times New Roman" w:cs="Times New Roman"/>
          <w:bCs/>
          <w:szCs w:val="18"/>
        </w:rPr>
        <w:t xml:space="preserve">Table </w:t>
      </w:r>
      <w:r>
        <w:rPr>
          <w:rFonts w:eastAsia="Times New Roman" w:cs="Times New Roman"/>
          <w:bCs/>
          <w:noProof/>
          <w:szCs w:val="18"/>
        </w:rPr>
        <w:t>1</w:t>
      </w:r>
      <w:r>
        <w:t xml:space="preserve"> </w:t>
      </w:r>
      <w:r>
        <w:rPr>
          <w:rFonts w:cs="Times New Roman"/>
          <w:szCs w:val="24"/>
        </w:rPr>
        <w:t>presents the summary statistics for the properties in our sample.</w:t>
      </w:r>
      <w:r>
        <w:rPr>
          <w:rStyle w:val="FootnoteReference"/>
          <w:rFonts w:cs="Times New Roman"/>
          <w:szCs w:val="24"/>
        </w:rPr>
        <w:footnoteReference w:id="6"/>
      </w:r>
      <w:r>
        <w:rPr>
          <w:rFonts w:cs="Times New Roman"/>
          <w:szCs w:val="24"/>
        </w:rPr>
        <w:t xml:space="preserve"> Properties are broken into 6 tenant diversification </w:t>
      </w:r>
      <w:r>
        <w:t xml:space="preserve">categories based on the percent of square footage occupied by the each property’s largest lessee (L1%). The L1 categories are formed using 20 percentage point increments for L1%. </w:t>
      </w:r>
      <w:r w:rsidRPr="008C73FB">
        <w:rPr>
          <w:rFonts w:eastAsia="Times New Roman" w:cs="Times New Roman"/>
          <w:bCs/>
          <w:szCs w:val="18"/>
        </w:rPr>
        <w:t xml:space="preserve">Table </w:t>
      </w:r>
      <w:r>
        <w:rPr>
          <w:rFonts w:eastAsia="Times New Roman" w:cs="Times New Roman"/>
          <w:bCs/>
          <w:noProof/>
          <w:szCs w:val="18"/>
        </w:rPr>
        <w:t>1</w:t>
      </w:r>
      <w:r>
        <w:t xml:space="preserve"> defines the L1% range for each L1 category and reports summary statistics for each category. </w:t>
      </w:r>
    </w:p>
    <w:p w14:paraId="2C2D4792" w14:textId="77777777" w:rsidR="0065555D" w:rsidRDefault="0065555D" w:rsidP="00FB3903">
      <w:pPr>
        <w:jc w:val="center"/>
      </w:pPr>
      <w:r>
        <w:t xml:space="preserve">[Insert </w:t>
      </w:r>
      <w:r w:rsidRPr="008C73FB">
        <w:rPr>
          <w:rFonts w:eastAsia="Times New Roman" w:cs="Times New Roman"/>
          <w:bCs/>
          <w:szCs w:val="18"/>
        </w:rPr>
        <w:t xml:space="preserve">Table </w:t>
      </w:r>
      <w:r>
        <w:rPr>
          <w:rFonts w:eastAsia="Times New Roman" w:cs="Times New Roman"/>
          <w:bCs/>
          <w:noProof/>
          <w:szCs w:val="18"/>
        </w:rPr>
        <w:t>1</w:t>
      </w:r>
      <w:r>
        <w:t xml:space="preserve"> around here.]</w:t>
      </w:r>
    </w:p>
    <w:p w14:paraId="601F6848" w14:textId="77777777" w:rsidR="0065555D" w:rsidRDefault="0065555D" w:rsidP="00FB3903">
      <w:pPr>
        <w:ind w:firstLine="576"/>
      </w:pPr>
      <w:r>
        <w:t xml:space="preserve">As the L1 category increases, the percent of space occupied by the largest tenant of the properties in that category increases, meaning that the level of tenant diversification in that category decreases. Thus, properties in L1 category 1 are the most diversified properties in the sample, as the largest tenant of properties in this category take up the smallest percentage of space. Properties in L1 category 6 consist of properties whose largest tenant takes up 100 percent of the property’s square footage, indicating that these are completely undiversified, single-tenant properties. </w:t>
      </w:r>
    </w:p>
    <w:p w14:paraId="2FF06D7F" w14:textId="77777777" w:rsidR="0065555D" w:rsidRDefault="0065555D" w:rsidP="00FB3903">
      <w:pPr>
        <w:ind w:firstLine="576"/>
        <w:rPr>
          <w:rFonts w:cs="Times New Roman"/>
          <w:szCs w:val="24"/>
        </w:rPr>
      </w:pPr>
      <w:r>
        <w:rPr>
          <w:rFonts w:cs="Times New Roman"/>
          <w:szCs w:val="24"/>
        </w:rPr>
        <w:t xml:space="preserve">About 18 percent of the properties in our sample are single-tenant properties, while only 2 percent of the properties fall into L1 category 5. Thus, there are very few multi-tenant properties whose largest tenant occupies 80-percent or more of the property’s available space. Properties in L1 category 4 make up 8.4 percent of the sample, and properties in L1 categories 2 and 3 make up 34.15 and 16.90 percent of the sample, respectively. Properties with the highest degree of tenant diversification, which fall into L1 category 1, make up 20.61 percent of the properties in our sample. </w:t>
      </w:r>
    </w:p>
    <w:p w14:paraId="35A564B9" w14:textId="77777777" w:rsidR="0065555D" w:rsidRDefault="0065555D" w:rsidP="00FB3903">
      <w:pPr>
        <w:ind w:firstLine="576"/>
        <w:rPr>
          <w:rFonts w:cs="Times New Roman"/>
          <w:szCs w:val="24"/>
        </w:rPr>
      </w:pPr>
      <w:r>
        <w:rPr>
          <w:rFonts w:cs="Times New Roman"/>
          <w:szCs w:val="24"/>
        </w:rPr>
        <w:t>Not surprisingly, the most diversified properties tend to have the highest property values, while completely undiversified properties have the lowest property values. Relative to properties in other tenant diversification categories, single-tenant properties have the lowest average spread. Single-tenant properties are also younger than properties in other L1 categories and tend to have the lowest ratio of NOI to property value, the lowest LTV, the highest amortization rate, and the longest time to loan maturity. Properties with the highest level of tenant diversification have the lowest occupancy rates, and their loans tend to mature more quickly.</w:t>
      </w:r>
    </w:p>
    <w:p w14:paraId="2515E0E7" w14:textId="77777777" w:rsidR="0065555D" w:rsidRDefault="0065555D" w:rsidP="00FB3903">
      <w:pPr>
        <w:ind w:firstLine="576"/>
        <w:rPr>
          <w:rFonts w:cs="Times New Roman"/>
          <w:szCs w:val="24"/>
        </w:rPr>
      </w:pPr>
      <w:r w:rsidRPr="008C73FB">
        <w:rPr>
          <w:rFonts w:eastAsia="Times New Roman" w:cs="Times New Roman"/>
          <w:bCs/>
          <w:szCs w:val="18"/>
        </w:rPr>
        <w:t xml:space="preserve">Table </w:t>
      </w:r>
      <w:r>
        <w:rPr>
          <w:rFonts w:eastAsia="Times New Roman" w:cs="Times New Roman"/>
          <w:bCs/>
          <w:noProof/>
          <w:szCs w:val="18"/>
        </w:rPr>
        <w:t>1</w:t>
      </w:r>
      <w:r>
        <w:rPr>
          <w:rFonts w:cs="Times New Roman"/>
          <w:szCs w:val="24"/>
        </w:rPr>
        <w:t xml:space="preserve"> also reports the fraction of L1 rollover for each L1 category. The fraction of properties whose largest tenant’s lease expires before the mortgage matures decreases as the size of the largest tenant increases. The largest tenant’s lease expires before the mortgage matures for 83 percent of properties in L1 category 1. This fraction decreases monotonically as the L1 category increases, and only 23 percent of single-tenant properties must roll over the largest tenant’s lease before mortgage maturity. These statistics indicate that, as tenant diversification decreases, property owners try to protect themselves by locking tenants into longer term leases. </w:t>
      </w:r>
    </w:p>
    <w:p w14:paraId="5361D3A3" w14:textId="77777777" w:rsidR="0065555D" w:rsidRDefault="0065555D" w:rsidP="00FB3903">
      <w:pPr>
        <w:ind w:firstLine="576"/>
        <w:rPr>
          <w:rFonts w:cs="Times New Roman"/>
          <w:szCs w:val="24"/>
        </w:rPr>
      </w:pPr>
      <w:r>
        <w:t xml:space="preserve">Figure </w:t>
      </w:r>
      <w:r>
        <w:rPr>
          <w:noProof/>
        </w:rPr>
        <w:t>1</w:t>
      </w:r>
      <w:r>
        <w:rPr>
          <w:rFonts w:cs="Times New Roman"/>
          <w:szCs w:val="24"/>
        </w:rPr>
        <w:t xml:space="preserve"> shows the sample size and average spread for loans in each year of our sample. The sample size increases continuously from 1999 through 2006 before dropping off slightly in 2007. However, of all the years in our sample, 2007 has the second highest number of loan originations. During the crisis years of 2008 and 2009, the sample size drops significantly and never fully recovers to the sample sizes in any of the years prior to the crisis. Additionally, the average spread has an inverse relationship with the number of loans.</w:t>
      </w:r>
      <w:r>
        <w:rPr>
          <w:rStyle w:val="FootnoteReference"/>
          <w:rFonts w:cs="Times New Roman"/>
          <w:szCs w:val="24"/>
        </w:rPr>
        <w:footnoteReference w:id="7"/>
      </w:r>
      <w:r>
        <w:rPr>
          <w:rFonts w:cs="Times New Roman"/>
          <w:szCs w:val="24"/>
        </w:rPr>
        <w:t xml:space="preserve"> As our sample size increases through the early to mid-2000s, spreads drop continuously. The increasing number of loans with lower credit spreads indicates the ease with which borrowers could obtain commercial mortgage loans during the pre-crisis period. Once the crisis hits and mortgage lending drops, average spreads increase to their highest levels in our sample and sustain these high levels through March 2012 when our sample ends.</w:t>
      </w:r>
    </w:p>
    <w:p w14:paraId="6B00E642" w14:textId="77777777" w:rsidR="0065555D" w:rsidRDefault="0065555D" w:rsidP="00FB3903">
      <w:pPr>
        <w:jc w:val="center"/>
        <w:rPr>
          <w:rFonts w:cs="Times New Roman"/>
          <w:szCs w:val="24"/>
        </w:rPr>
      </w:pPr>
      <w:r>
        <w:rPr>
          <w:rFonts w:cs="Times New Roman"/>
          <w:szCs w:val="24"/>
        </w:rPr>
        <w:t xml:space="preserve">[Insert </w:t>
      </w:r>
      <w:r>
        <w:t xml:space="preserve">Figure </w:t>
      </w:r>
      <w:r>
        <w:rPr>
          <w:noProof/>
        </w:rPr>
        <w:t>1</w:t>
      </w:r>
      <w:r>
        <w:rPr>
          <w:rFonts w:cs="Times New Roman"/>
          <w:szCs w:val="24"/>
        </w:rPr>
        <w:t xml:space="preserve"> around here.]</w:t>
      </w:r>
    </w:p>
    <w:p w14:paraId="1C8E6E36" w14:textId="77777777" w:rsidR="0065555D" w:rsidRPr="00D83951" w:rsidRDefault="00D83951" w:rsidP="00D83951">
      <w:pPr>
        <w:rPr>
          <w:b/>
          <w:sz w:val="26"/>
          <w:szCs w:val="26"/>
        </w:rPr>
      </w:pPr>
      <w:r>
        <w:rPr>
          <w:b/>
          <w:sz w:val="26"/>
          <w:szCs w:val="26"/>
        </w:rPr>
        <w:t xml:space="preserve">2.2 </w:t>
      </w:r>
      <w:r w:rsidR="0065555D" w:rsidRPr="00D83951">
        <w:rPr>
          <w:b/>
          <w:sz w:val="26"/>
          <w:szCs w:val="26"/>
        </w:rPr>
        <w:t>Regression Model for Commercial Mortgage Spreads</w:t>
      </w:r>
    </w:p>
    <w:p w14:paraId="1F26C764" w14:textId="77777777" w:rsidR="0065555D" w:rsidRDefault="0065555D" w:rsidP="00FB3903">
      <w:pPr>
        <w:spacing w:after="0"/>
        <w:ind w:firstLine="720"/>
      </w:pPr>
      <w:r>
        <w:t xml:space="preserve">Following </w:t>
      </w:r>
      <w:r>
        <w:rPr>
          <w:noProof/>
        </w:rPr>
        <w:t>Titman et al. (2005)</w:t>
      </w:r>
      <w:r>
        <w:t xml:space="preserve">, we estimate a model for commercial mortgage spreads that includes a variety of property and mortgage characteristics. We also include a proxy for the degree of tenant diversification and fixed effects for each month. We specify our regression model as follows: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6703"/>
        <w:gridCol w:w="1436"/>
      </w:tblGrid>
      <w:tr w:rsidR="0065555D" w14:paraId="426F464A" w14:textId="77777777">
        <w:tc>
          <w:tcPr>
            <w:tcW w:w="750" w:type="pct"/>
            <w:vAlign w:val="center"/>
          </w:tcPr>
          <w:p w14:paraId="2DBBFC87" w14:textId="77777777" w:rsidR="0065555D" w:rsidRPr="0069450D" w:rsidRDefault="0065555D" w:rsidP="0065555D">
            <w:pPr>
              <w:pStyle w:val="ListParagraph"/>
              <w:numPr>
                <w:ilvl w:val="0"/>
                <w:numId w:val="1"/>
              </w:numPr>
              <w:spacing w:after="0" w:line="360" w:lineRule="auto"/>
              <w:jc w:val="both"/>
              <w:rPr>
                <w:rFonts w:ascii="Times New Roman" w:eastAsia="Times New Roman" w:hAnsi="Times New Roman" w:cs="Times New Roman"/>
                <w:szCs w:val="24"/>
              </w:rPr>
            </w:pPr>
          </w:p>
        </w:tc>
        <w:tc>
          <w:tcPr>
            <w:tcW w:w="3500" w:type="pct"/>
            <w:vAlign w:val="center"/>
          </w:tcPr>
          <w:p w14:paraId="1FD39F89" w14:textId="77777777" w:rsidR="0065555D" w:rsidRPr="00FB5FAB" w:rsidRDefault="0065555D" w:rsidP="00FB3903">
            <w:pPr>
              <w:spacing w:line="276" w:lineRule="auto"/>
              <w:rPr>
                <w:rFonts w:ascii="Times New Roman" w:eastAsia="Times New Roman" w:hAnsi="Times New Roman"/>
                <w:szCs w:val="24"/>
              </w:rPr>
            </w:pPr>
            <m:oMathPara>
              <m:oMath>
                <m:r>
                  <w:rPr>
                    <w:rFonts w:ascii="Cambria Math" w:eastAsia="Times New Roman" w:hAnsi="Cambria Math"/>
                    <w:szCs w:val="24"/>
                  </w:rPr>
                  <m:t>Spread</m:t>
                </m:r>
                <m:r>
                  <w:rPr>
                    <w:rFonts w:ascii="Cambria Math" w:eastAsia="Times New Roman" w:hAnsi="Times New Roman"/>
                    <w:szCs w:val="24"/>
                  </w:rPr>
                  <m:t>=</m:t>
                </m:r>
                <m:r>
                  <w:rPr>
                    <w:rFonts w:ascii="Cambria Math" w:eastAsia="Times New Roman" w:hAnsi="Cambria Math"/>
                    <w:szCs w:val="24"/>
                  </w:rPr>
                  <m:t>Intercept</m:t>
                </m:r>
                <m:r>
                  <w:rPr>
                    <w:rFonts w:ascii="Cambria Math" w:eastAsia="Times New Roman" w:hAnsi="Times New Roman"/>
                    <w:szCs w:val="24"/>
                  </w:rPr>
                  <m:t>+</m:t>
                </m:r>
                <m:nary>
                  <m:naryPr>
                    <m:chr m:val="∑"/>
                    <m:limLoc m:val="undOvr"/>
                    <m:supHide m:val="1"/>
                    <m:ctrlPr>
                      <w:rPr>
                        <w:rFonts w:ascii="Cambria Math" w:eastAsia="Times New Roman" w:hAnsi="Times New Roman"/>
                        <w:i/>
                        <w:szCs w:val="24"/>
                      </w:rPr>
                    </m:ctrlPr>
                  </m:naryPr>
                  <m:sub>
                    <m:r>
                      <w:rPr>
                        <w:rFonts w:ascii="Cambria Math" w:eastAsia="Times New Roman" w:hAnsi="Cambria Math"/>
                        <w:szCs w:val="24"/>
                      </w:rPr>
                      <m:t>i</m:t>
                    </m:r>
                  </m:sub>
                  <m:sup/>
                  <m:e>
                    <m:sSub>
                      <m:sSubPr>
                        <m:ctrlPr>
                          <w:rPr>
                            <w:rFonts w:ascii="Cambria Math" w:eastAsia="Times New Roman" w:hAnsi="Times New Roman"/>
                            <w:i/>
                            <w:szCs w:val="24"/>
                          </w:rPr>
                        </m:ctrlPr>
                      </m:sSubPr>
                      <m:e>
                        <m:r>
                          <w:rPr>
                            <w:rFonts w:ascii="Cambria Math" w:eastAsia="Times New Roman" w:hAnsi="Times New Roman"/>
                            <w:szCs w:val="24"/>
                          </w:rPr>
                          <m:t>l</m:t>
                        </m:r>
                      </m:e>
                      <m:sub>
                        <m:r>
                          <w:rPr>
                            <w:rFonts w:ascii="Cambria Math" w:eastAsia="Times New Roman" w:hAnsi="Times New Roman"/>
                            <w:szCs w:val="24"/>
                          </w:rPr>
                          <m:t>i</m:t>
                        </m:r>
                      </m:sub>
                    </m:sSub>
                    <m:r>
                      <w:rPr>
                        <w:rFonts w:ascii="Cambria Math" w:eastAsia="Times New Roman" w:hAnsi="Cambria Math"/>
                        <w:szCs w:val="24"/>
                      </w:rPr>
                      <m:t>×</m:t>
                    </m:r>
                    <m:sSub>
                      <m:sSubPr>
                        <m:ctrlPr>
                          <w:rPr>
                            <w:rFonts w:ascii="Cambria Math" w:eastAsia="Times New Roman" w:hAnsi="Times New Roman"/>
                            <w:i/>
                            <w:szCs w:val="24"/>
                          </w:rPr>
                        </m:ctrlPr>
                      </m:sSubPr>
                      <m:e>
                        <m:r>
                          <w:rPr>
                            <w:rFonts w:ascii="Cambria Math" w:eastAsia="Times New Roman" w:hAnsi="Cambria Math"/>
                            <w:szCs w:val="24"/>
                          </w:rPr>
                          <m:t>lessee characteristic</m:t>
                        </m:r>
                      </m:e>
                      <m:sub>
                        <m:r>
                          <w:rPr>
                            <w:rFonts w:ascii="Cambria Math" w:eastAsia="Times New Roman" w:hAnsi="Cambria Math"/>
                            <w:szCs w:val="24"/>
                          </w:rPr>
                          <m:t>i</m:t>
                        </m:r>
                      </m:sub>
                    </m:sSub>
                  </m:e>
                </m:nary>
                <m:r>
                  <w:rPr>
                    <w:rFonts w:ascii="Cambria Math" w:eastAsia="Times New Roman" w:hAnsi="Times New Roman"/>
                    <w:szCs w:val="24"/>
                  </w:rPr>
                  <m:t>+</m:t>
                </m:r>
                <m:nary>
                  <m:naryPr>
                    <m:chr m:val="∑"/>
                    <m:limLoc m:val="undOvr"/>
                    <m:supHide m:val="1"/>
                    <m:ctrlPr>
                      <w:rPr>
                        <w:rFonts w:ascii="Cambria Math" w:eastAsia="Times New Roman" w:hAnsi="Times New Roman"/>
                        <w:i/>
                        <w:szCs w:val="24"/>
                      </w:rPr>
                    </m:ctrlPr>
                  </m:naryPr>
                  <m:sub>
                    <m:r>
                      <w:rPr>
                        <w:rFonts w:ascii="Cambria Math" w:eastAsia="Times New Roman" w:hAnsi="Cambria Math"/>
                        <w:szCs w:val="24"/>
                      </w:rPr>
                      <m:t>i</m:t>
                    </m:r>
                  </m:sub>
                  <m:sup/>
                  <m:e>
                    <m:sSub>
                      <m:sSubPr>
                        <m:ctrlPr>
                          <w:rPr>
                            <w:rFonts w:ascii="Cambria Math" w:eastAsia="Times New Roman" w:hAnsi="Times New Roman"/>
                            <w:i/>
                            <w:szCs w:val="24"/>
                          </w:rPr>
                        </m:ctrlPr>
                      </m:sSubPr>
                      <m:e>
                        <m:r>
                          <w:rPr>
                            <w:rFonts w:ascii="Cambria Math" w:eastAsia="Times New Roman" w:hAnsi="Cambria Math"/>
                            <w:szCs w:val="24"/>
                          </w:rPr>
                          <m:t>c</m:t>
                        </m:r>
                      </m:e>
                      <m:sub>
                        <m:r>
                          <w:rPr>
                            <w:rFonts w:ascii="Cambria Math" w:eastAsia="Times New Roman" w:hAnsi="Cambria Math"/>
                            <w:szCs w:val="24"/>
                          </w:rPr>
                          <m:t>i</m:t>
                        </m:r>
                      </m:sub>
                    </m:sSub>
                    <m:r>
                      <w:rPr>
                        <w:rFonts w:ascii="Cambria Math" w:eastAsia="Times New Roman" w:hAnsi="Times New Roman"/>
                        <w:szCs w:val="24"/>
                      </w:rPr>
                      <m:t>×</m:t>
                    </m:r>
                    <m:sSub>
                      <m:sSubPr>
                        <m:ctrlPr>
                          <w:rPr>
                            <w:rFonts w:ascii="Cambria Math" w:eastAsia="Times New Roman" w:hAnsi="Times New Roman"/>
                            <w:i/>
                            <w:szCs w:val="24"/>
                          </w:rPr>
                        </m:ctrlPr>
                      </m:sSubPr>
                      <m:e>
                        <m:r>
                          <w:rPr>
                            <w:rFonts w:ascii="Cambria Math" w:eastAsia="Times New Roman" w:hAnsi="Cambria Math"/>
                            <w:szCs w:val="24"/>
                          </w:rPr>
                          <m:t>property characteristic</m:t>
                        </m:r>
                      </m:e>
                      <m:sub>
                        <m:r>
                          <w:rPr>
                            <w:rFonts w:ascii="Cambria Math" w:eastAsia="Times New Roman" w:hAnsi="Cambria Math"/>
                            <w:szCs w:val="24"/>
                          </w:rPr>
                          <m:t>i</m:t>
                        </m:r>
                      </m:sub>
                    </m:sSub>
                  </m:e>
                </m:nary>
                <m:r>
                  <w:rPr>
                    <w:rFonts w:ascii="Cambria Math" w:eastAsia="Times New Roman" w:hAnsi="Times New Roman"/>
                    <w:szCs w:val="24"/>
                  </w:rPr>
                  <m:t>+</m:t>
                </m:r>
                <m:nary>
                  <m:naryPr>
                    <m:chr m:val="∑"/>
                    <m:limLoc m:val="undOvr"/>
                    <m:supHide m:val="1"/>
                    <m:ctrlPr>
                      <w:rPr>
                        <w:rFonts w:ascii="Cambria Math" w:eastAsia="Times New Roman" w:hAnsi="Times New Roman"/>
                        <w:i/>
                        <w:szCs w:val="24"/>
                      </w:rPr>
                    </m:ctrlPr>
                  </m:naryPr>
                  <m:sub>
                    <m:r>
                      <w:rPr>
                        <w:rFonts w:ascii="Cambria Math" w:eastAsia="Times New Roman" w:hAnsi="Cambria Math"/>
                        <w:szCs w:val="24"/>
                      </w:rPr>
                      <m:t>i</m:t>
                    </m:r>
                  </m:sub>
                  <m:sup/>
                  <m:e>
                    <m:sSub>
                      <m:sSubPr>
                        <m:ctrlPr>
                          <w:rPr>
                            <w:rFonts w:ascii="Cambria Math" w:eastAsia="Times New Roman" w:hAnsi="Times New Roman"/>
                            <w:i/>
                            <w:szCs w:val="24"/>
                          </w:rPr>
                        </m:ctrlPr>
                      </m:sSubPr>
                      <m:e>
                        <m:r>
                          <w:rPr>
                            <w:rFonts w:ascii="Cambria Math" w:eastAsia="Times New Roman" w:hAnsi="Cambria Math"/>
                            <w:szCs w:val="24"/>
                          </w:rPr>
                          <m:t>m</m:t>
                        </m:r>
                      </m:e>
                      <m:sub>
                        <m:r>
                          <w:rPr>
                            <w:rFonts w:ascii="Cambria Math" w:eastAsia="Times New Roman" w:hAnsi="Cambria Math"/>
                            <w:szCs w:val="24"/>
                          </w:rPr>
                          <m:t>i</m:t>
                        </m:r>
                      </m:sub>
                    </m:sSub>
                    <m:r>
                      <w:rPr>
                        <w:rFonts w:ascii="Cambria Math" w:eastAsia="Times New Roman" w:hAnsi="Times New Roman"/>
                        <w:szCs w:val="24"/>
                      </w:rPr>
                      <m:t>×</m:t>
                    </m:r>
                    <m:sSub>
                      <m:sSubPr>
                        <m:ctrlPr>
                          <w:rPr>
                            <w:rFonts w:ascii="Cambria Math" w:eastAsia="Times New Roman" w:hAnsi="Times New Roman"/>
                            <w:i/>
                            <w:szCs w:val="24"/>
                          </w:rPr>
                        </m:ctrlPr>
                      </m:sSubPr>
                      <m:e>
                        <m:r>
                          <w:rPr>
                            <w:rFonts w:ascii="Cambria Math" w:eastAsia="Times New Roman" w:hAnsi="Cambria Math"/>
                            <w:szCs w:val="24"/>
                          </w:rPr>
                          <m:t>mortgage characteristic</m:t>
                        </m:r>
                      </m:e>
                      <m:sub>
                        <m:r>
                          <w:rPr>
                            <w:rFonts w:ascii="Cambria Math" w:eastAsia="Times New Roman" w:hAnsi="Cambria Math"/>
                            <w:szCs w:val="24"/>
                          </w:rPr>
                          <m:t>i</m:t>
                        </m:r>
                      </m:sub>
                    </m:sSub>
                  </m:e>
                </m:nary>
                <m:r>
                  <w:rPr>
                    <w:rFonts w:ascii="Cambria Math" w:eastAsia="Times New Roman" w:hAnsi="Times New Roman"/>
                    <w:szCs w:val="24"/>
                  </w:rPr>
                  <m:t>+</m:t>
                </m:r>
                <m:nary>
                  <m:naryPr>
                    <m:chr m:val="∑"/>
                    <m:limLoc m:val="undOvr"/>
                    <m:supHide m:val="1"/>
                    <m:ctrlPr>
                      <w:rPr>
                        <w:rFonts w:ascii="Cambria Math" w:eastAsia="Times New Roman" w:hAnsi="Times New Roman"/>
                        <w:i/>
                        <w:szCs w:val="24"/>
                      </w:rPr>
                    </m:ctrlPr>
                  </m:naryPr>
                  <m:sub>
                    <m:r>
                      <w:rPr>
                        <w:rFonts w:ascii="Cambria Math" w:eastAsia="Times New Roman" w:hAnsi="Cambria Math"/>
                        <w:szCs w:val="24"/>
                      </w:rPr>
                      <m:t>i</m:t>
                    </m:r>
                  </m:sub>
                  <m:sup/>
                  <m:e>
                    <m:sSub>
                      <m:sSubPr>
                        <m:ctrlPr>
                          <w:rPr>
                            <w:rFonts w:ascii="Cambria Math" w:eastAsia="Times New Roman" w:hAnsi="Times New Roman"/>
                            <w:i/>
                            <w:szCs w:val="24"/>
                          </w:rPr>
                        </m:ctrlPr>
                      </m:sSubPr>
                      <m:e>
                        <m:r>
                          <w:rPr>
                            <w:rFonts w:ascii="Cambria Math" w:eastAsia="Times New Roman" w:hAnsi="Cambria Math"/>
                            <w:szCs w:val="24"/>
                          </w:rPr>
                          <m:t>t</m:t>
                        </m:r>
                      </m:e>
                      <m:sub>
                        <m:r>
                          <w:rPr>
                            <w:rFonts w:ascii="Cambria Math" w:eastAsia="Times New Roman" w:hAnsi="Cambria Math"/>
                            <w:szCs w:val="24"/>
                          </w:rPr>
                          <m:t>i</m:t>
                        </m:r>
                      </m:sub>
                    </m:sSub>
                    <m:r>
                      <w:rPr>
                        <w:rFonts w:ascii="Cambria Math" w:eastAsia="Times New Roman" w:hAnsi="Times New Roman"/>
                        <w:szCs w:val="24"/>
                      </w:rPr>
                      <m:t>×</m:t>
                    </m:r>
                    <m:sSub>
                      <m:sSubPr>
                        <m:ctrlPr>
                          <w:rPr>
                            <w:rFonts w:ascii="Cambria Math" w:eastAsia="Times New Roman" w:hAnsi="Times New Roman"/>
                            <w:i/>
                            <w:szCs w:val="24"/>
                          </w:rPr>
                        </m:ctrlPr>
                      </m:sSubPr>
                      <m:e>
                        <m:r>
                          <w:rPr>
                            <w:rFonts w:ascii="Cambria Math" w:eastAsia="Times New Roman" w:hAnsi="Cambria Math"/>
                            <w:szCs w:val="24"/>
                          </w:rPr>
                          <m:t>time dummy variable</m:t>
                        </m:r>
                      </m:e>
                      <m:sub>
                        <m:r>
                          <w:rPr>
                            <w:rFonts w:ascii="Cambria Math" w:eastAsia="Times New Roman" w:hAnsi="Cambria Math"/>
                            <w:szCs w:val="24"/>
                          </w:rPr>
                          <m:t>i</m:t>
                        </m:r>
                      </m:sub>
                    </m:sSub>
                  </m:e>
                </m:nary>
                <m:r>
                  <w:rPr>
                    <w:rFonts w:ascii="Cambria Math" w:eastAsia="Times New Roman" w:hAnsi="Times New Roman"/>
                    <w:szCs w:val="24"/>
                  </w:rPr>
                  <m:t>+</m:t>
                </m:r>
                <m:r>
                  <w:rPr>
                    <w:rFonts w:ascii="Cambria Math" w:eastAsia="Times New Roman" w:hAnsi="Cambria Math"/>
                    <w:szCs w:val="24"/>
                  </w:rPr>
                  <m:t>ε.</m:t>
                </m:r>
              </m:oMath>
            </m:oMathPara>
          </w:p>
        </w:tc>
        <w:tc>
          <w:tcPr>
            <w:tcW w:w="750" w:type="pct"/>
            <w:vAlign w:val="center"/>
          </w:tcPr>
          <w:p w14:paraId="149C121B" w14:textId="77777777" w:rsidR="0065555D" w:rsidRDefault="0065555D" w:rsidP="00FB3903">
            <w:pPr>
              <w:spacing w:line="360" w:lineRule="auto"/>
              <w:rPr>
                <w:rFonts w:ascii="Times New Roman" w:eastAsia="Times New Roman" w:hAnsi="Times New Roman"/>
                <w:szCs w:val="24"/>
              </w:rPr>
            </w:pPr>
          </w:p>
        </w:tc>
      </w:tr>
    </w:tbl>
    <w:p w14:paraId="41E84C5D" w14:textId="77777777" w:rsidR="0065555D" w:rsidRDefault="0065555D" w:rsidP="00FB3903">
      <w:pPr>
        <w:spacing w:after="0" w:line="240" w:lineRule="auto"/>
        <w:ind w:hanging="86"/>
      </w:pPr>
    </w:p>
    <w:p w14:paraId="07C67091" w14:textId="77777777" w:rsidR="0065555D" w:rsidRDefault="0065555D" w:rsidP="00FB3903">
      <w:r>
        <w:t xml:space="preserve">We summarize all of the variables used in our model in </w:t>
      </w:r>
      <w:r w:rsidRPr="008C73FB">
        <w:rPr>
          <w:rFonts w:eastAsia="Times New Roman" w:cs="Times New Roman"/>
          <w:bCs/>
          <w:szCs w:val="18"/>
        </w:rPr>
        <w:t xml:space="preserve">Table </w:t>
      </w:r>
      <w:r>
        <w:rPr>
          <w:rFonts w:eastAsia="Times New Roman" w:cs="Times New Roman"/>
          <w:bCs/>
          <w:noProof/>
          <w:szCs w:val="18"/>
        </w:rPr>
        <w:t>2</w:t>
      </w:r>
      <w:r>
        <w:t>, and each variable is discussed below.</w:t>
      </w:r>
    </w:p>
    <w:p w14:paraId="62D929EA" w14:textId="77777777" w:rsidR="0065555D" w:rsidRDefault="0065555D" w:rsidP="00FB3903">
      <w:pPr>
        <w:jc w:val="center"/>
      </w:pPr>
      <w:r>
        <w:t xml:space="preserve">[Insert </w:t>
      </w:r>
      <w:r w:rsidRPr="008C73FB">
        <w:rPr>
          <w:rFonts w:eastAsia="Times New Roman" w:cs="Times New Roman"/>
          <w:bCs/>
          <w:szCs w:val="18"/>
        </w:rPr>
        <w:t xml:space="preserve">Table </w:t>
      </w:r>
      <w:r>
        <w:rPr>
          <w:rFonts w:eastAsia="Times New Roman" w:cs="Times New Roman"/>
          <w:bCs/>
          <w:noProof/>
          <w:szCs w:val="18"/>
        </w:rPr>
        <w:t>2</w:t>
      </w:r>
      <w:r>
        <w:t xml:space="preserve"> around here.]</w:t>
      </w:r>
    </w:p>
    <w:p w14:paraId="4029DB89" w14:textId="77777777" w:rsidR="0065555D" w:rsidRDefault="0065555D" w:rsidP="00FB3903">
      <w:pPr>
        <w:ind w:firstLine="720"/>
      </w:pPr>
      <w:r>
        <w:t xml:space="preserve">In our primary model specification, we use a series of dummy variables representing the L1 categories to investigate the impact of tenant diversification on mortgage spreads. The dummy variable specification for L1% allows us to control for a potential nonlinear relationship between tenant diversification and mortgage spreads. Because we expect more diversified properties to be less risky, we expect the spread to decrease as the degree of tenant diversification increases. However, larger tenants create positive business externalities for smaller tenants. Additionally, it is possible that larger tenants are more creditworthy than smaller tenants and that the larger tenants provide a more stable source of cash flow for property owners. If this is the case, then the benefits of diversification will dissipate as diversification increases due to the absence of a large, stable tenant. Thus, our model allows us to examine if borrowers on diversified properties benefit by receiving lower spreads than borrowers with a less diversified tenant base, and if so, if there are limits to which the degree of tenant diversification benefits borrowers. </w:t>
      </w:r>
    </w:p>
    <w:p w14:paraId="20D7F555" w14:textId="77777777" w:rsidR="0065555D" w:rsidRDefault="0065555D" w:rsidP="00FB3903">
      <w:pPr>
        <w:ind w:firstLine="720"/>
      </w:pPr>
      <w:r>
        <w:t>In the second specification of our spread model, we incorporate the structure of the largest tenant’s lease. Specifically, we create a dummy variable that equals 1 if the largest tenant’s lease expires before the mortgage matures and 0 otherwise. This dummy variable, which we refer to as the lease rollover dummy, is intended to capture the risk that the largest tenant may not renew its lease, causing the property to lose a large source of cash flow before the mortgage matures. We expect lease rollovers to cause higher spreads to reflect this risk. The second model specification includes the L1 category dummies and interaction terms between these dummies and the lease rollover dummy. We use interaction terms because we expect lease rollover risk to be higher for properties with lower levels of tenant diversification, as properties that are not diversified are more reliant on the cash flows generated by the property’s largest tenant.</w:t>
      </w:r>
    </w:p>
    <w:p w14:paraId="17EB7A33" w14:textId="77777777" w:rsidR="0065555D" w:rsidRDefault="0065555D" w:rsidP="00FB3903">
      <w:pPr>
        <w:spacing w:before="240"/>
        <w:ind w:firstLine="720"/>
        <w:rPr>
          <w:rFonts w:cs="Times New Roman"/>
          <w:szCs w:val="24"/>
        </w:rPr>
      </w:pPr>
      <w:r>
        <w:rPr>
          <w:rFonts w:cs="Times New Roman"/>
          <w:szCs w:val="24"/>
        </w:rPr>
        <w:t xml:space="preserve">Each specification of our model includes the LTV ratio and a dummy variable indicating whether or not the loan has an LTV greater than or equal to 0.70. We use this specification because, as is pointed out by Titman et al. (2005), LTV is determined endogenously through negotiations between the borrower and the lender. </w:t>
      </w:r>
      <w:r w:rsidRPr="0003551E">
        <w:rPr>
          <w:rFonts w:cs="Times New Roman"/>
          <w:i/>
          <w:szCs w:val="24"/>
        </w:rPr>
        <w:t>Ceteris paribus</w:t>
      </w:r>
      <w:r>
        <w:rPr>
          <w:rFonts w:cs="Times New Roman"/>
          <w:szCs w:val="24"/>
        </w:rPr>
        <w:t>, a higher LTV results in a riskier loan and a higher spread. However, riskier borrowers are typically forced to make higher down payments, which reduces the LTV on risky loans. Thus, riskier borrowers may end up with loans that have lower LTVs than safe borrowers would obtain. The specification that we use is intended to control for the endogeneity associated with a loan’s LTV.</w:t>
      </w:r>
    </w:p>
    <w:p w14:paraId="3FBBB278" w14:textId="77777777" w:rsidR="0065555D" w:rsidRPr="00772D70" w:rsidRDefault="0065555D" w:rsidP="00FB3903">
      <w:pPr>
        <w:spacing w:before="240"/>
        <w:ind w:firstLine="720"/>
        <w:rPr>
          <w:rFonts w:cs="Times New Roman"/>
          <w:szCs w:val="24"/>
        </w:rPr>
      </w:pPr>
      <w:r>
        <w:rPr>
          <w:rFonts w:cs="Times New Roman"/>
          <w:szCs w:val="24"/>
        </w:rPr>
        <w:t>Our model includes a number of other property and mortgage characteristics as control variables.</w:t>
      </w:r>
      <w:r>
        <w:rPr>
          <w:rStyle w:val="FootnoteReference"/>
          <w:rFonts w:cs="Times New Roman"/>
          <w:szCs w:val="24"/>
        </w:rPr>
        <w:footnoteReference w:id="8"/>
      </w:r>
      <w:r>
        <w:rPr>
          <w:rFonts w:cs="Times New Roman"/>
          <w:szCs w:val="24"/>
        </w:rPr>
        <w:t xml:space="preserve"> To control for property characteristics, we include the natural log of the property’s real dollar value, the ratio of net operating income to property value, the occupancy rate, and the natural log of the property’s age. To control for characteristics of the mortgage, we use the mortgage’s amortization rate, time to maturity, and the LTV ratio as was discussed previously. To control for changes in the lending environment over time, all regressions include month fixed effects, and coefficient standard errors are clustered by month.</w:t>
      </w:r>
      <w:r>
        <w:rPr>
          <w:rStyle w:val="FootnoteReference"/>
          <w:rFonts w:cs="Times New Roman"/>
          <w:szCs w:val="24"/>
        </w:rPr>
        <w:footnoteReference w:id="9"/>
      </w:r>
    </w:p>
    <w:p w14:paraId="1EBA8B6C" w14:textId="77777777" w:rsidR="0065555D" w:rsidRPr="00D83951" w:rsidRDefault="00D83951" w:rsidP="00D83951">
      <w:pPr>
        <w:rPr>
          <w:b/>
          <w:sz w:val="26"/>
          <w:szCs w:val="26"/>
        </w:rPr>
      </w:pPr>
      <w:r>
        <w:rPr>
          <w:b/>
          <w:sz w:val="26"/>
          <w:szCs w:val="26"/>
        </w:rPr>
        <w:t xml:space="preserve">2.3 </w:t>
      </w:r>
      <w:r w:rsidR="0065555D" w:rsidRPr="00D83951">
        <w:rPr>
          <w:b/>
          <w:sz w:val="26"/>
          <w:szCs w:val="26"/>
        </w:rPr>
        <w:t xml:space="preserve">Regression Results </w:t>
      </w:r>
    </w:p>
    <w:p w14:paraId="7583824D" w14:textId="77777777" w:rsidR="0065555D" w:rsidRDefault="0065555D" w:rsidP="00FB3903">
      <w:pPr>
        <w:ind w:firstLine="576"/>
      </w:pPr>
      <w:r>
        <w:t xml:space="preserve">The estimation results for each specification of our spread model are displayed in </w:t>
      </w:r>
      <w:r w:rsidRPr="008C73FB">
        <w:rPr>
          <w:rFonts w:eastAsia="Times New Roman" w:cs="Times New Roman"/>
          <w:bCs/>
          <w:szCs w:val="18"/>
        </w:rPr>
        <w:t xml:space="preserve">Table </w:t>
      </w:r>
      <w:r>
        <w:rPr>
          <w:rFonts w:eastAsia="Times New Roman" w:cs="Times New Roman"/>
          <w:bCs/>
          <w:noProof/>
          <w:szCs w:val="18"/>
        </w:rPr>
        <w:t>3</w:t>
      </w:r>
      <w:r>
        <w:t xml:space="preserve">. In our first specification, we use L1 category 6, which consists of single-tenant properties, as the base case for tenant diversification. Because the properties in L1 category 6 are completely undiversified, the tenant diversification dummies allow us to examine the incremental effect of different levels of tenant diversification. </w:t>
      </w:r>
    </w:p>
    <w:p w14:paraId="512ABC88" w14:textId="77777777" w:rsidR="0065555D" w:rsidRDefault="0065555D" w:rsidP="00FB3903">
      <w:pPr>
        <w:jc w:val="center"/>
      </w:pPr>
      <w:r>
        <w:t xml:space="preserve">[Insert </w:t>
      </w:r>
      <w:r w:rsidRPr="00473470">
        <w:t>Table 3</w:t>
      </w:r>
      <w:r>
        <w:t xml:space="preserve"> around here.]</w:t>
      </w:r>
    </w:p>
    <w:p w14:paraId="6F8F9148" w14:textId="77777777" w:rsidR="0065555D" w:rsidRDefault="0065555D" w:rsidP="00FB3903">
      <w:pPr>
        <w:ind w:firstLine="720"/>
      </w:pPr>
      <w:r>
        <w:t xml:space="preserve">In the first specification, the coefficient on the L1 category 5 dummy variable indicates that these properties receive mortgages spreads that are 2.45 basis points lower than those on single-tenant, completely undiversified properties. However, this result is not statistically significant. Mortgages on properties in L1 category 4 get a statistically significant 3.48 basis point spread discount relative to single-tenant properties. Thus, having a moderate degree of tenant diversification is viewed favorably by lenders. Mortgages for properties in L1 category 3 have spreads that are not significantly different from spreads of mortgages on undiversified properties. Thus, once properties begin to reach higher levels of tenant diversification, borrowers on these properties do not gain any benefit relative to borrowers on completely undiversified properties. Mortgage spreads on properties in L1 category 2 are a statistically significant 2.29 basis points higher than spreads on single-tenant properties. Finally, mortgage spreads on properties in L1 category 1, which have the highest level of diversification, are a statistically significant 5.28 basis points higher than spreads on single-tenant properties. Thus, properties with the highest levels of tenant diversification have the highest mortgage spreads. </w:t>
      </w:r>
    </w:p>
    <w:p w14:paraId="71C57C3A" w14:textId="77777777" w:rsidR="0065555D" w:rsidRDefault="0065555D" w:rsidP="00FB3903">
      <w:pPr>
        <w:spacing w:after="0"/>
      </w:pPr>
      <w:r>
        <w:tab/>
        <w:t>Our regression results indicate that there is a non-linear relationship between tenant diversification and commercial mortgage spreads. There is a U-shape pattern indicating that spreads for mortgages on moderately diversified properties are lower than those on single-tenant properties, but that spreads begin to increase for properties with higher levels of tenant diversification and are highest for properties with the highest degrees of diversification.</w:t>
      </w:r>
      <w:r>
        <w:rPr>
          <w:rStyle w:val="FootnoteReference"/>
        </w:rPr>
        <w:footnoteReference w:id="10"/>
      </w:r>
      <w:r>
        <w:t xml:space="preserve"> Thus, a moderate degree of diversification carries the benefit of providing a diverse source of cash flow, building in a cushion in the circumstance that some of the property’s tenants are unable to meet their promised payments. Additionally, the results support the notion that a large anchor tenant generates positive externalities for other tenants that are viewed favorably by lenders. </w:t>
      </w:r>
    </w:p>
    <w:p w14:paraId="403BADB0" w14:textId="77777777" w:rsidR="0065555D" w:rsidRDefault="0065555D" w:rsidP="00FB3903">
      <w:pPr>
        <w:ind w:firstLine="720"/>
      </w:pPr>
      <w:r>
        <w:t xml:space="preserve">Our second specification incorporates the lease structure of a property’s largest tenant. If the largest tenant of a property has a lease that expires before the mortgage matures, borrowers run the risk of losing a large source of cash flow. The impact of losing the property’s largest tenant should be greater for properties that are not highly diversified. Thus, we add interaction terms of a lease rollover dummy and each of the L1 category dummies to examine the impact of lease rollover risk. The base case for the specification that uses this set of dummy variables is a single-tenant property without a lease rollover for that tenant. The regression results for this specification are displayed in </w:t>
      </w:r>
      <w:r w:rsidRPr="008C73FB">
        <w:rPr>
          <w:rFonts w:eastAsia="Times New Roman" w:cs="Times New Roman"/>
          <w:bCs/>
          <w:szCs w:val="18"/>
        </w:rPr>
        <w:t xml:space="preserve">Table </w:t>
      </w:r>
      <w:r>
        <w:rPr>
          <w:rFonts w:eastAsia="Times New Roman" w:cs="Times New Roman"/>
          <w:bCs/>
          <w:noProof/>
          <w:szCs w:val="18"/>
        </w:rPr>
        <w:t>3</w:t>
      </w:r>
      <w:r>
        <w:t xml:space="preserve">. </w:t>
      </w:r>
    </w:p>
    <w:p w14:paraId="4C831313" w14:textId="77777777" w:rsidR="0065555D" w:rsidRDefault="0065555D" w:rsidP="00FB3903">
      <w:pPr>
        <w:ind w:firstLine="720"/>
      </w:pPr>
      <w:r>
        <w:t xml:space="preserve">The regression results indicate that lease rollover risk has no significant impact on spreads for single-tenant properties. This is likely the case because tenants that occupy all of a property’s square footage are unlikely to leave that property, yielding very little rollover risk for these properties despite the fact that the large tenant has the option to vacate the property before the mortgage matures. </w:t>
      </w:r>
    </w:p>
    <w:p w14:paraId="5B7FAD72" w14:textId="77777777" w:rsidR="0065555D" w:rsidRDefault="0065555D" w:rsidP="00FB3903">
      <w:pPr>
        <w:ind w:firstLine="720"/>
      </w:pPr>
      <w:r>
        <w:t>Mortgage spreads on properties in L1 category 5 without a lease rollover are 3.88 basis points lower than spreads on completely undiversified properties, although this result is only marginally significant. However, while the coefficient on the rollover dummy and L1 category 5 interaction term is insignificant, a test of the null hypothesis that the sum of the coefficients on the L1 category 5 dummy and the rollover interaction term equals zero cannot be rejected.</w:t>
      </w:r>
      <w:r>
        <w:rPr>
          <w:rStyle w:val="FootnoteReference"/>
        </w:rPr>
        <w:footnoteReference w:id="11"/>
      </w:r>
      <w:r>
        <w:t xml:space="preserve">  Thus, the spread discount for properties in L1 category 5 disappear when the largest tenant’s lease expires before the mortgage matures. </w:t>
      </w:r>
    </w:p>
    <w:p w14:paraId="4C2DDDAF" w14:textId="77777777" w:rsidR="0065555D" w:rsidRDefault="0065555D" w:rsidP="00FB3903">
      <w:pPr>
        <w:ind w:firstLine="720"/>
      </w:pPr>
      <w:r>
        <w:t xml:space="preserve">Mortgage spreads on properties in L1 category 4 without a lease rollover are 4.88 basis points lower than mortgage spreads on single-tenant properties without a lease rollover. This spread reduction is significant at the 1% level. The rollover and L1 category 4 interaction term indicates that the spread discount is reduced by 3.62 basis points when the largest tenant’s lease expires before the mortgage matures. The coefficient on the interaction term is significant at the 5% level, and a test of the null hypothesis that the sum of the coefficients on the L1 category dummy and the rollover interaction term equals zero cannot be rejected. </w:t>
      </w:r>
    </w:p>
    <w:p w14:paraId="169E524D" w14:textId="77777777" w:rsidR="0065555D" w:rsidRDefault="0065555D" w:rsidP="00FB3903">
      <w:pPr>
        <w:ind w:firstLine="720"/>
      </w:pPr>
      <w:r>
        <w:t xml:space="preserve">Mortgage spreads on properties in L1 category 3 without a lease rollover are 4.82 basis points lower than spreads on single-tenant properties without a lease rollover. This result is statistically significant at the 1% level. The interaction term between the L1 category 3 dummy and the rollover dummy indicates that the spread discount for properties in this category decreases by a statistically significant 5.29 basis points if the largest tenant’s lease expires before the loan matures. In addition, a test of the null hypothesis that the sum of the coefficients on the L1 category 3 dummy and the rollover interaction term equals zero cannot be rejected. </w:t>
      </w:r>
    </w:p>
    <w:p w14:paraId="52C811A3" w14:textId="77777777" w:rsidR="0065555D" w:rsidRDefault="0065555D" w:rsidP="00FB3903">
      <w:pPr>
        <w:ind w:firstLine="720"/>
      </w:pPr>
      <w:r>
        <w:t xml:space="preserve">The results for L1 categories 3, 4, and 5 provide further support that lenders give lower spreads to mortgages on moderately diversified properties, as these properties obtain benefits from diversification and from having an anchor tenant. The results also indicate that the spread discount for mortgages on properties with moderate levels of diversification disappears if the largest tenant is not locked into its lease until the mortgage matures. Thus, lenders consider lease rollover risk and charge higher spreads for bearing this risk when properties are not highly diversified. </w:t>
      </w:r>
    </w:p>
    <w:p w14:paraId="605986DC" w14:textId="77777777" w:rsidR="0065555D" w:rsidRDefault="0065555D" w:rsidP="00FB3903">
      <w:pPr>
        <w:ind w:firstLine="576"/>
      </w:pPr>
      <w:r>
        <w:t xml:space="preserve">Mortgage spreads on properties in L1 category 2 without lease rollover risk are not significantly different from spreads on single-tenant properties, and lease rollovers for properties in category 2 do not have a significant influence on spreads. Spreads on properties in L1 category 1 without a lease rollover are 5.79 basis points higher than spreads on single-tenant properties without a rollover. However, like properties in L1 category 2, lease rollovers for properties in category 1 do not result in significantly higher spreads. The results for properties in L1 categories 1 and 2 indicate that there is a limit to the degree with which lenders value tenant diversification, as high levels of diversification result in the loss of the benefits of having a large, stable tenant. However, lenders do seem to value diversification as protection against lease rollover risk, as diversified properties do not face higher mortgage spreads when their largest tenant’s lease expires before the mortgage matures. </w:t>
      </w:r>
    </w:p>
    <w:p w14:paraId="65978E4C" w14:textId="77777777" w:rsidR="0065555D" w:rsidRPr="00D83951" w:rsidRDefault="00D83951" w:rsidP="00D83951">
      <w:pPr>
        <w:rPr>
          <w:b/>
          <w:sz w:val="26"/>
          <w:szCs w:val="26"/>
        </w:rPr>
      </w:pPr>
      <w:r>
        <w:rPr>
          <w:b/>
          <w:sz w:val="26"/>
          <w:szCs w:val="26"/>
        </w:rPr>
        <w:t xml:space="preserve">2.4 </w:t>
      </w:r>
      <w:r w:rsidR="0065555D" w:rsidRPr="00D83951">
        <w:rPr>
          <w:b/>
          <w:sz w:val="26"/>
          <w:szCs w:val="26"/>
        </w:rPr>
        <w:t>Robustness Checks</w:t>
      </w:r>
    </w:p>
    <w:p w14:paraId="023AD46D" w14:textId="77777777" w:rsidR="0065555D" w:rsidRPr="00D83951" w:rsidRDefault="00D83951" w:rsidP="00D83951">
      <w:pPr>
        <w:spacing w:after="0"/>
        <w:rPr>
          <w:b/>
        </w:rPr>
      </w:pPr>
      <w:r>
        <w:rPr>
          <w:b/>
        </w:rPr>
        <w:t xml:space="preserve">2.4.1 </w:t>
      </w:r>
      <w:r w:rsidR="0065555D" w:rsidRPr="00D83951">
        <w:rPr>
          <w:b/>
        </w:rPr>
        <w:t>Measuring Tenant Diversification using the Herfindahl-Hirschman Index</w:t>
      </w:r>
    </w:p>
    <w:p w14:paraId="25F412C5" w14:textId="77777777" w:rsidR="0065555D" w:rsidRDefault="0065555D" w:rsidP="00FB3903">
      <w:pPr>
        <w:ind w:firstLine="720"/>
      </w:pPr>
      <w:r>
        <w:t>While the percent of square footage occupied by a property’s largest tenant is a reasonable proxy for tenant diversification, it does not incorporate information about diversification that can be attained with the property’s remaining space. Thus, we create a proxy for tenant diversification that incorporates the percent of square footage occupied by the property’s largest three tenants. We compute the three tenant Herfindahl-Hirschman Index (HHI) for tenant diversification as follows: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6703"/>
        <w:gridCol w:w="1436"/>
      </w:tblGrid>
      <w:tr w:rsidR="0065555D" w14:paraId="77E68CAF" w14:textId="77777777" w:rsidTr="00FB3903">
        <w:tc>
          <w:tcPr>
            <w:tcW w:w="750" w:type="pct"/>
            <w:vAlign w:val="center"/>
          </w:tcPr>
          <w:p w14:paraId="1F80D9C0" w14:textId="77777777" w:rsidR="0065555D" w:rsidRPr="0069450D" w:rsidRDefault="0065555D" w:rsidP="0065555D">
            <w:pPr>
              <w:pStyle w:val="ListParagraph"/>
              <w:numPr>
                <w:ilvl w:val="0"/>
                <w:numId w:val="1"/>
              </w:numPr>
              <w:spacing w:after="0"/>
              <w:jc w:val="both"/>
              <w:rPr>
                <w:rFonts w:ascii="Times New Roman" w:eastAsia="Times New Roman" w:hAnsi="Times New Roman" w:cs="Times New Roman"/>
                <w:szCs w:val="24"/>
              </w:rPr>
            </w:pPr>
          </w:p>
        </w:tc>
        <w:tc>
          <w:tcPr>
            <w:tcW w:w="3500" w:type="pct"/>
            <w:vAlign w:val="center"/>
          </w:tcPr>
          <w:p w14:paraId="2D2E5E7D" w14:textId="77777777" w:rsidR="0065555D" w:rsidRPr="00FB5FAB" w:rsidRDefault="0065555D" w:rsidP="00FB3903">
            <w:pPr>
              <w:rPr>
                <w:rFonts w:ascii="Times New Roman" w:eastAsia="Times New Roman" w:hAnsi="Times New Roman"/>
                <w:szCs w:val="24"/>
              </w:rPr>
            </w:pPr>
            <m:oMathPara>
              <m:oMath>
                <m:r>
                  <w:rPr>
                    <w:rFonts w:ascii="Cambria Math" w:hAnsi="Cambria Math"/>
                  </w:rPr>
                  <m:t>HHI=</m:t>
                </m:r>
                <m:f>
                  <m:fPr>
                    <m:ctrlPr>
                      <w:rPr>
                        <w:rFonts w:ascii="Cambria Math" w:hAnsi="Cambria Math"/>
                        <w:i/>
                      </w:rPr>
                    </m:ctrlPr>
                  </m:fPr>
                  <m:num>
                    <m:sSup>
                      <m:sSupPr>
                        <m:ctrlPr>
                          <w:rPr>
                            <w:rFonts w:ascii="Cambria Math" w:hAnsi="Cambria Math"/>
                            <w:i/>
                          </w:rPr>
                        </m:ctrlPr>
                      </m:sSupPr>
                      <m:e>
                        <m:r>
                          <w:rPr>
                            <w:rFonts w:ascii="Cambria Math" w:hAnsi="Cambria Math"/>
                          </w:rPr>
                          <m:t>L1%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L2%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L3%</m:t>
                        </m:r>
                      </m:e>
                      <m:sup>
                        <m:r>
                          <w:rPr>
                            <w:rFonts w:ascii="Cambria Math" w:hAnsi="Cambria Math"/>
                          </w:rPr>
                          <m:t>2</m:t>
                        </m:r>
                      </m:sup>
                    </m:sSup>
                  </m:num>
                  <m:den>
                    <m:r>
                      <w:rPr>
                        <w:rFonts w:ascii="Cambria Math" w:hAnsi="Cambria Math"/>
                      </w:rPr>
                      <m:t>10,000</m:t>
                    </m:r>
                  </m:den>
                </m:f>
                <m:r>
                  <w:rPr>
                    <w:rFonts w:ascii="Cambria Math" w:hAnsi="Cambria Math"/>
                  </w:rPr>
                  <m:t>×100</m:t>
                </m:r>
                <m:r>
                  <m:rPr>
                    <m:nor/>
                  </m:rPr>
                  <w:rPr>
                    <w:rFonts w:cs="Times New Roman"/>
                  </w:rPr>
                  <m:t>,</m:t>
                </m:r>
              </m:oMath>
            </m:oMathPara>
          </w:p>
        </w:tc>
        <w:tc>
          <w:tcPr>
            <w:tcW w:w="750" w:type="pct"/>
            <w:vAlign w:val="center"/>
          </w:tcPr>
          <w:p w14:paraId="66EB9CAD" w14:textId="77777777" w:rsidR="0065555D" w:rsidRDefault="0065555D" w:rsidP="00FB3903">
            <w:pPr>
              <w:rPr>
                <w:rFonts w:ascii="Times New Roman" w:eastAsia="Times New Roman" w:hAnsi="Times New Roman"/>
                <w:szCs w:val="24"/>
              </w:rPr>
            </w:pPr>
          </w:p>
        </w:tc>
      </w:tr>
    </w:tbl>
    <w:p w14:paraId="62B00EBB" w14:textId="77777777" w:rsidR="0065555D" w:rsidRDefault="0065555D" w:rsidP="00FB3903">
      <w:r>
        <w:t>where L1% is the percent of square footage occupied by the largest tenant, L2% is the percent of square footage occupied by the second largest tenant, and L3% is the percent of square footage occupied by the third largest tenant.</w:t>
      </w:r>
      <w:r>
        <w:rPr>
          <w:rStyle w:val="FootnoteReference"/>
        </w:rPr>
        <w:footnoteReference w:id="12"/>
      </w:r>
      <w:r>
        <w:t xml:space="preserve"> Thus, HHI ranges from 0 to 100, with lower values indicating a higher degree of tenant diversification.</w:t>
      </w:r>
    </w:p>
    <w:p w14:paraId="17321133" w14:textId="77777777" w:rsidR="0065555D" w:rsidRDefault="0065555D" w:rsidP="00FB3903">
      <w:r>
        <w:tab/>
        <w:t>HHI is commonly used to measure market concentration. It is computed by summing the squares of market share for each firm in a market. HHI is frequently used in empirical industrial organization literature (</w:t>
      </w:r>
      <w:r>
        <w:rPr>
          <w:noProof/>
        </w:rPr>
        <w:t>Giroud and Mueller (2011)</w:t>
      </w:r>
      <w:r>
        <w:t>), and it is used by the Department of Justice (DOJ) and other regulatory agencies in setting and enforcing competition and antitrust policy (</w:t>
      </w:r>
      <w:r>
        <w:rPr>
          <w:noProof/>
        </w:rPr>
        <w:t>MacKay and Phillips (2005)</w:t>
      </w:r>
      <w:r>
        <w:t xml:space="preserve">). </w:t>
      </w:r>
    </w:p>
    <w:p w14:paraId="76CA8F44" w14:textId="77777777" w:rsidR="0065555D" w:rsidRDefault="0065555D" w:rsidP="00FB3903">
      <w:r>
        <w:tab/>
        <w:t xml:space="preserve">HHI has also been used in the real estate literature to measure retail concentration, as </w:t>
      </w:r>
      <w:r>
        <w:rPr>
          <w:noProof/>
        </w:rPr>
        <w:t>Des Rosiers et al. (2009)</w:t>
      </w:r>
      <w:r>
        <w:t xml:space="preserve"> use HHI to measure concentration for retail categories within shopping centers. One of the greatest benefits to using HHI as a diversification or concentration measure is that larger tenants are given more weight in the calculation, which results in a higher HHI for properties with large tenants.      </w:t>
      </w:r>
    </w:p>
    <w:p w14:paraId="53E71751" w14:textId="77777777" w:rsidR="0065555D" w:rsidRDefault="0065555D" w:rsidP="00C24EB6">
      <w:pPr>
        <w:ind w:firstLine="720"/>
      </w:pPr>
      <w:r>
        <w:t>Similar to our previous analysis, we break properties</w:t>
      </w:r>
      <w:r w:rsidRPr="00B44CD8">
        <w:t xml:space="preserve"> into 6 quantiles based on their </w:t>
      </w:r>
      <w:r>
        <w:t>level of tenant diversification. Quantile 6, t</w:t>
      </w:r>
      <w:r w:rsidRPr="004D0478">
        <w:t>he highest quantile</w:t>
      </w:r>
      <w:r>
        <w:t>,</w:t>
      </w:r>
      <w:r w:rsidRPr="004D0478">
        <w:t xml:space="preserve"> consists of all properties with an HHI equal to 100</w:t>
      </w:r>
      <w:r>
        <w:t>, indicating that these are single-tenant properties</w:t>
      </w:r>
      <w:r w:rsidRPr="004D0478">
        <w:t>. The remaining properties are divided into 5 equally sized HHI quantiles.</w:t>
      </w:r>
      <w:r>
        <w:t xml:space="preserve"> We report summary statistics for each quantile in </w:t>
      </w:r>
      <w:r w:rsidRPr="000F23A0">
        <w:rPr>
          <w:rFonts w:cs="Times New Roman"/>
          <w:szCs w:val="24"/>
        </w:rPr>
        <w:t xml:space="preserve">Table </w:t>
      </w:r>
      <w:r>
        <w:rPr>
          <w:rFonts w:cs="Times New Roman"/>
          <w:noProof/>
          <w:szCs w:val="24"/>
        </w:rPr>
        <w:t>4</w:t>
      </w:r>
      <w:r>
        <w:t>. The summary statistics have a similar pattern to those that were computed for the largest tenant percent square footage categories. The quantile with single-tenant properties has the lowest average property value, LTV, and property age. This quantile also has the smallest fraction of properties whose largest tenant’s lease expires before the mortgage matures. The lowest HHI quantile has the highest fraction of properties facing a lease rollover for their largest tenant.</w:t>
      </w:r>
    </w:p>
    <w:p w14:paraId="637662C1" w14:textId="77777777" w:rsidR="0065555D" w:rsidRDefault="0065555D" w:rsidP="00FB3903">
      <w:pPr>
        <w:jc w:val="center"/>
      </w:pPr>
      <w:r>
        <w:t xml:space="preserve">[Insert </w:t>
      </w:r>
      <w:r w:rsidRPr="000F23A0">
        <w:rPr>
          <w:rFonts w:cs="Times New Roman"/>
          <w:szCs w:val="24"/>
        </w:rPr>
        <w:t xml:space="preserve">Table </w:t>
      </w:r>
      <w:r>
        <w:rPr>
          <w:rFonts w:cs="Times New Roman"/>
          <w:noProof/>
          <w:szCs w:val="24"/>
        </w:rPr>
        <w:t>4</w:t>
      </w:r>
      <w:r>
        <w:t xml:space="preserve"> around here.]</w:t>
      </w:r>
    </w:p>
    <w:p w14:paraId="4FB76845" w14:textId="77777777" w:rsidR="0065555D" w:rsidRDefault="0065555D" w:rsidP="00FB3903">
      <w:pPr>
        <w:ind w:firstLine="720"/>
      </w:pPr>
      <w:r w:rsidRPr="000F23A0">
        <w:rPr>
          <w:rFonts w:cs="Times New Roman"/>
          <w:szCs w:val="24"/>
        </w:rPr>
        <w:t xml:space="preserve">Table </w:t>
      </w:r>
      <w:r>
        <w:rPr>
          <w:rFonts w:cs="Times New Roman"/>
          <w:noProof/>
          <w:szCs w:val="24"/>
        </w:rPr>
        <w:t>4</w:t>
      </w:r>
      <w:r>
        <w:t xml:space="preserve"> also shows that, as the HHI quantile increases, the percent of square footage occupied by the property’s largest tenant increases. This indicates that the HHI measure of diversification is similar to the largest tenant percent square footage (L1%) measure that was used to measure diversification in our earlier analysis. </w:t>
      </w:r>
    </w:p>
    <w:p w14:paraId="4A27F6F5" w14:textId="77777777" w:rsidR="0065555D" w:rsidRDefault="0065555D" w:rsidP="00FB3903">
      <w:r>
        <w:tab/>
        <w:t xml:space="preserve">We estimate two regression specifications for mortgage spreads that are analogous to those that were estimated previously. The only difference is that we use a dummy variable for each HHI quantile instead of a dummy variable for each L1 category. The results for each specification are presented in Table </w:t>
      </w:r>
      <w:r>
        <w:rPr>
          <w:noProof/>
        </w:rPr>
        <w:t>5</w:t>
      </w:r>
      <w:r>
        <w:t xml:space="preserve">.  </w:t>
      </w:r>
    </w:p>
    <w:p w14:paraId="7A39F150" w14:textId="77777777" w:rsidR="0065555D" w:rsidRDefault="0065555D" w:rsidP="00FB3903">
      <w:pPr>
        <w:jc w:val="center"/>
      </w:pPr>
      <w:r>
        <w:t xml:space="preserve">[Insert Table </w:t>
      </w:r>
      <w:r>
        <w:rPr>
          <w:noProof/>
        </w:rPr>
        <w:t>5</w:t>
      </w:r>
      <w:r>
        <w:t xml:space="preserve"> around here.]</w:t>
      </w:r>
    </w:p>
    <w:p w14:paraId="1BEB81E0" w14:textId="77777777" w:rsidR="0065555D" w:rsidRDefault="0065555D" w:rsidP="00FB3903">
      <w:r>
        <w:tab/>
        <w:t xml:space="preserve">The first specification indicates that properties in HHI quantile 5 get a marginally significant spread discount of 2.44 basis points. Spreads for properties in HHI quantiles 2 through 4 are not significantly different from spreads on single-tenant properties. However, spreads for properties in quantile 1 are a significantly positive 5.14 basis points higher than spreads on single-tenant properties. </w:t>
      </w:r>
    </w:p>
    <w:p w14:paraId="34E232EF" w14:textId="77777777" w:rsidR="0065555D" w:rsidRDefault="0065555D" w:rsidP="00FB3903">
      <w:r>
        <w:tab/>
        <w:t xml:space="preserve">The second specification shows that properties in quantiles 4 and 5 get a spread discount of 4.57 and 4.53 basis points, respectively, if the largest tenant’s lease does not expire before the lease matures. These results indicate that properties with a moderate level of tenant diversification get a spread discount. However, the lease rollover interaction term for each of these quantiles is significantly positive. In addition, for each of these quantiles, tests of the null hypothesis that the sum of the coefficients on the quantile dummy variable and its lease rollover interaction term equal zero cannot be rejected. Thus, the spread discount for properties with moderate levels of tenant diversification disappears if the largest tenant is not locked into its lease beyond the mortgage’s maturity. </w:t>
      </w:r>
    </w:p>
    <w:p w14:paraId="64C8DC61" w14:textId="77777777" w:rsidR="0065555D" w:rsidRDefault="0065555D" w:rsidP="00FB3903">
      <w:r>
        <w:tab/>
        <w:t xml:space="preserve">The coefficients for the HHI quantile dummy variables are insignificant for quantiles 2 and 3. However, the coefficient for HHI quantile 1 dummy variable is significantly positive and indicates that mortgages on properties in quantile 1 have spreads that are 5.94 basis points higher than spreads on single-tenant properties. Additionally, lease rollovers for a property’s largest tenant do not have a significant impact on spreads for HHI quantiles 1 through 3, indicating that tenant diversification helps protect borrowers from the risk that the largest tenant on the property will not roll its lease over before the mortgage matures.  </w:t>
      </w:r>
    </w:p>
    <w:p w14:paraId="08BB621D" w14:textId="77777777" w:rsidR="0065555D" w:rsidRDefault="0065555D" w:rsidP="00FB3903">
      <w:r>
        <w:tab/>
        <w:t>The results using the property’s HHI to measure diversification are similar to those that are obtained when using the percent of square footage occupied by the property’s largest tenant to measure diversification. The results indicate that lenders provide a spread discount for properties with a moderate degree of tenant diversification, but that this discount disappears if the largest tenant’s lease expires before the mortgage matures. Also, borrowers on properties with the highest levels of diversification pay spreads that are significantly higher than spreads for single-tenant properties.</w:t>
      </w:r>
    </w:p>
    <w:p w14:paraId="17AFA317" w14:textId="77777777" w:rsidR="0065555D" w:rsidRDefault="0065555D" w:rsidP="00FB3903">
      <w:r>
        <w:tab/>
        <w:t xml:space="preserve">To gauge the economic significance of our results, we construct a hypothetical loan based on average values in our dataset. The average property value listed in </w:t>
      </w:r>
      <w:r w:rsidRPr="008C73FB">
        <w:rPr>
          <w:rFonts w:eastAsia="Times New Roman" w:cs="Times New Roman"/>
          <w:bCs/>
          <w:szCs w:val="18"/>
        </w:rPr>
        <w:t xml:space="preserve">Table </w:t>
      </w:r>
      <w:r>
        <w:rPr>
          <w:rFonts w:eastAsia="Times New Roman" w:cs="Times New Roman"/>
          <w:bCs/>
          <w:noProof/>
          <w:szCs w:val="18"/>
        </w:rPr>
        <w:t>3</w:t>
      </w:r>
      <w:r>
        <w:t xml:space="preserve"> is $16.25 million and the average LTV is 0.69, so we consider a loan for $11,212,500. The average loan in our dataset has 10 years to maturity, and the 10-year Treasury rate averaged 4.3503% during the time period spanned by our dataset. The average spread of all loans in the dataset is 1.5070%, so we add this to the average Treasury rate for an interest rate of 5.8573%. Using this as the interest rate on our hypothetical loan and a 30-year amortization term with a balloon payment due in 10 years, we find that the total monthly payments plus the balloon payment on the loan would amount to about $17,291,177.  </w:t>
      </w:r>
    </w:p>
    <w:p w14:paraId="481077CE" w14:textId="77777777" w:rsidR="0065555D" w:rsidRDefault="0065555D" w:rsidP="00FB3903">
      <w:pPr>
        <w:ind w:firstLine="720"/>
      </w:pPr>
      <w:r>
        <w:t xml:space="preserve">We now consider the hypothetical loan to be a loan on a single-tenant property without a lease rollover. Table </w:t>
      </w:r>
      <w:r>
        <w:rPr>
          <w:noProof/>
        </w:rPr>
        <w:t>5</w:t>
      </w:r>
      <w:r>
        <w:t xml:space="preserve"> indicates that a loan on an otherwise equivalent fully diversified property would have an interest rate that is 5.94 basis points higher, yielding an interest rate of 5.9167% for this loan. The total of all monthly payments plus the balloon payment on this loan would equal about $17,357,337, an increase of $66,160 relative to the total payments generated by a mortgage on an otherwise equivalent single-tenant property. We have 3,878 loans on fully diversified properties in our dataset, meaning that the 5.94 basis point increase in the interest rate for loans on fully diversified properties generates a total of over $250 million in extra payments over the lifetime of these loans. </w:t>
      </w:r>
    </w:p>
    <w:p w14:paraId="3AD0FA7E" w14:textId="77777777" w:rsidR="0065555D" w:rsidRDefault="0065555D" w:rsidP="00FB3903">
      <w:pPr>
        <w:ind w:firstLine="720"/>
      </w:pPr>
      <w:r>
        <w:t xml:space="preserve">We again consider our original hypothetical loan to be a loan on a single-tenant property without a lease rollover. Table </w:t>
      </w:r>
      <w:r>
        <w:rPr>
          <w:noProof/>
        </w:rPr>
        <w:t>5</w:t>
      </w:r>
      <w:r>
        <w:t xml:space="preserve"> indicates that a loan on an otherwise equivalent moderately diversified property would have an interest rate that is 4.57 basis points lower, yielding an interest rate of 5.8116%. The total of the monthly payments on this loan over time plus the loan’s balloon payment would equal about $17,240,318, which is $117,019 lower than the total payments generated by a loan on an otherwise equivalent fully diversified property. We have 3,878 loans on fully diversified properties in our dataset, meaning that mortgages on the fully diversified properties yield over $450 million in total payments over time beyond those that would result from otherwise equivalent fully diversified properties. </w:t>
      </w:r>
    </w:p>
    <w:p w14:paraId="7E2699BF" w14:textId="77777777" w:rsidR="0065555D" w:rsidRPr="00D83951" w:rsidRDefault="00D83951" w:rsidP="00D83951">
      <w:pPr>
        <w:rPr>
          <w:b/>
        </w:rPr>
      </w:pPr>
      <w:r>
        <w:rPr>
          <w:b/>
        </w:rPr>
        <w:t xml:space="preserve">2.4.2 </w:t>
      </w:r>
      <w:r w:rsidR="0065555D" w:rsidRPr="00D83951">
        <w:rPr>
          <w:b/>
        </w:rPr>
        <w:t>Addressing the Endogeneity of Spreads and LTV</w:t>
      </w:r>
    </w:p>
    <w:p w14:paraId="29E53CC2" w14:textId="77777777" w:rsidR="0065555D" w:rsidRDefault="0065555D" w:rsidP="00FB3903">
      <w:pPr>
        <w:spacing w:after="0"/>
        <w:ind w:firstLine="720"/>
      </w:pPr>
      <w:r>
        <w:t xml:space="preserve">Lenders consider mortgage spreads and LTVs simultaneously. To adjust for the risk associated with a particular mortgage, lenders may require a higher spread or a lower LTV. If lenders adjust spreads and LTVs to account for tenant diversification and lease rollover risk, then the coefficient estimates in the regression models that were estimated previously may be biased. </w:t>
      </w:r>
    </w:p>
    <w:p w14:paraId="5A58A86E" w14:textId="77777777" w:rsidR="0065555D" w:rsidRDefault="0065555D" w:rsidP="00FB3903">
      <w:pPr>
        <w:spacing w:after="0"/>
        <w:ind w:firstLine="720"/>
      </w:pPr>
      <w:r>
        <w:t>To address the issue of endogeneity, we implement a two-stage least squares procedure in which a model for LTV is estimated in the first stage and a model for mortgage spreads is estimated in the second stage. For each loan, we compute the average LTV of all other loans from the same originator.</w:t>
      </w:r>
      <w:r w:rsidRPr="00017439">
        <w:t xml:space="preserve"> This is used as an instrument </w:t>
      </w:r>
      <w:r>
        <w:t xml:space="preserve">in our second stage regressions </w:t>
      </w:r>
      <w:r w:rsidRPr="00017439">
        <w:t xml:space="preserve">because evidence </w:t>
      </w:r>
      <w:r>
        <w:t>indicates</w:t>
      </w:r>
      <w:r w:rsidRPr="00017439">
        <w:t xml:space="preserve"> that </w:t>
      </w:r>
      <w:r>
        <w:t>some originators prefer to make low LTV loans, while other lenders are willing to make loans with high LTVs.</w:t>
      </w:r>
      <w:r>
        <w:rPr>
          <w:rStyle w:val="FootnoteReference"/>
        </w:rPr>
        <w:footnoteReference w:id="13"/>
      </w:r>
      <w:r>
        <w:t xml:space="preserve"> Thus, for a given loan from a particular originator, the average LTV of other loans from the same originator will be predictive of the LTV on that loan. </w:t>
      </w:r>
      <w:r w:rsidRPr="00AD325A">
        <w:t xml:space="preserve">However, </w:t>
      </w:r>
      <w:r>
        <w:t>t</w:t>
      </w:r>
      <w:r w:rsidRPr="00AD325A">
        <w:t xml:space="preserve">he average LTV of all other loans </w:t>
      </w:r>
      <w:r>
        <w:t>from the</w:t>
      </w:r>
      <w:r w:rsidRPr="00AD325A">
        <w:t xml:space="preserve"> </w:t>
      </w:r>
      <w:r>
        <w:t xml:space="preserve">same </w:t>
      </w:r>
      <w:r w:rsidRPr="00AD325A">
        <w:t xml:space="preserve">originator should not </w:t>
      </w:r>
      <w:r>
        <w:t>have a direct</w:t>
      </w:r>
      <w:r w:rsidRPr="00AD325A">
        <w:t xml:space="preserve"> in</w:t>
      </w:r>
      <w:r>
        <w:t xml:space="preserve">fluence on the spread on that loan, as lenders consider the characteristics of a given loan when determining the spread. </w:t>
      </w:r>
    </w:p>
    <w:p w14:paraId="16426884" w14:textId="77777777" w:rsidR="0065555D" w:rsidRDefault="0065555D" w:rsidP="00FB3903">
      <w:pPr>
        <w:spacing w:after="0"/>
        <w:ind w:firstLine="720"/>
      </w:pPr>
      <w:r>
        <w:t xml:space="preserve">To implement the two-stage least squares (2SLS) procedure, we eliminate mortgages for which the originator is unknown and mortgages whose originator issued less than 5 loans in our sample. We also drop the dummy variable indicating that a loan’s LTV is greater than 0.70 from our model, as it was included in the model to address the endogeneity of mortgage spreads and LTVs. Finally, we estimate the models that include the lease rollover interaction terms. </w:t>
      </w:r>
    </w:p>
    <w:p w14:paraId="0CB060A8" w14:textId="77777777" w:rsidR="0065555D" w:rsidRDefault="0065555D" w:rsidP="00FB3903">
      <w:pPr>
        <w:spacing w:after="0"/>
        <w:ind w:firstLine="720"/>
      </w:pPr>
      <w:r>
        <w:t xml:space="preserve">The results for the first and second stage regressions are reported in Table </w:t>
      </w:r>
      <w:r>
        <w:rPr>
          <w:noProof/>
        </w:rPr>
        <w:t>6</w:t>
      </w:r>
      <w:r>
        <w:t xml:space="preserve">. The first stage LTV regressions shown in Panel A indicate that, for a given loan, the average LTV of other loans made from the same originator is a strong predictor of that loan’s LTV. In the two model specifications, the coefficient on the average LTV is positive and highly significant, with t-statistics of 19.58 and 19.23 in specifications 1 and 2, respectively. </w:t>
      </w:r>
    </w:p>
    <w:p w14:paraId="6578B232" w14:textId="77777777" w:rsidR="0065555D" w:rsidRDefault="0065555D" w:rsidP="00FB3903">
      <w:pPr>
        <w:spacing w:after="0"/>
        <w:jc w:val="center"/>
      </w:pPr>
      <w:r>
        <w:t xml:space="preserve">[Insert Table </w:t>
      </w:r>
      <w:r>
        <w:rPr>
          <w:noProof/>
        </w:rPr>
        <w:t>6</w:t>
      </w:r>
      <w:r>
        <w:t xml:space="preserve"> here.]</w:t>
      </w:r>
    </w:p>
    <w:p w14:paraId="62590599" w14:textId="77777777" w:rsidR="0065555D" w:rsidRDefault="0065555D" w:rsidP="00FB3903">
      <w:pPr>
        <w:ind w:firstLine="720"/>
      </w:pPr>
      <w:r>
        <w:t>The first stage regressions also indicate that tenant diversification plays a role in the lender’s LTV decision. Specification 1 shows that mortgages on properties in L1 categories 3 and 4 without a lease rollover have LTVs that are 1.78 and 1.70 percentage points higher than those on single-tenant properties without a lease rollover. Additionally, LTVs for mortgages in largest tenant category 2 are 0.65 percentage points higher than LTVs for single-tenant properties. However, this impact is only marginally significant. The lease rollover interaction terms for mortgages in categories 2 through 4 indicate that lease rollover risk has a significantly negative impact on LTVs that counteracts the higher LTVs associated with mortgages on properties in these categories. Additionally, properties in largest tenant category 1, which are the least diversified, have significantly lower LTVs than single-tenant properties.</w:t>
      </w:r>
    </w:p>
    <w:p w14:paraId="0C38ABD5" w14:textId="77777777" w:rsidR="0065555D" w:rsidRDefault="0065555D" w:rsidP="00FB3903">
      <w:r>
        <w:tab/>
        <w:t xml:space="preserve">The results for model specification 2 are similar to those that are obtained from specification 1. Properties in HHI quantiles 4 and 5 that do not have a largest tenant lease rollover have significantly higher LTVs than single-tenant properties without a lease rollover. However, properties in the HHI quantiles 2 and 3 without a lease rollover do not have LTVs that are significantly different from LTVs on single-tenant properties without a lease rollover, and the LTVs on properties in HHI quantile 1 without a lease rollover have significantly lower LTVs than single-tenant properties without a lease rollover. This indicates that LTVs on mortgages for properties without a largest tenant lease rollover are higher for moderate levels of tenant diversification, but they are reduced when properties have very high levels of tenant diversification. The rollover interaction terms again indicate that lease rollover risk reduces LTVs on mortgages for properties that are not highly diversified. </w:t>
      </w:r>
    </w:p>
    <w:p w14:paraId="7524B768" w14:textId="77777777" w:rsidR="0065555D" w:rsidRDefault="0065555D" w:rsidP="00FB3903">
      <w:r>
        <w:tab/>
        <w:t xml:space="preserve">The LTV regressions indicate that lenders consider properties with a moderate degree of diversification to be desirable, as mortgages on these properties have higher LTVs. However, mortgages on highly diversified properties must have lower LTVs. Additionally, the lease rollover interaction terms indicate that the higher LTVs on properties with moderate levels of tenant diversification are not permitted if there is a risk that the largest tenant will vacate the property before the mortgage matures. </w:t>
      </w:r>
    </w:p>
    <w:p w14:paraId="1C9D175B" w14:textId="77777777" w:rsidR="0065555D" w:rsidRDefault="0065555D" w:rsidP="00FB3903">
      <w:r>
        <w:tab/>
        <w:t xml:space="preserve">In the second stage regressions shown in Panel B, we use fitted values from the LTV regressions to estimate a model of mortgage spreads. The coefficients for LTV in each of the two 2SLS regressions are much larger than the coefficients in the standard one-stage regression estimates shown in </w:t>
      </w:r>
      <w:r w:rsidRPr="008C73FB">
        <w:rPr>
          <w:rFonts w:eastAsia="Times New Roman" w:cs="Times New Roman"/>
          <w:bCs/>
          <w:szCs w:val="18"/>
        </w:rPr>
        <w:t xml:space="preserve">Table </w:t>
      </w:r>
      <w:r>
        <w:rPr>
          <w:rFonts w:eastAsia="Times New Roman" w:cs="Times New Roman"/>
          <w:bCs/>
          <w:noProof/>
          <w:szCs w:val="18"/>
        </w:rPr>
        <w:t>3</w:t>
      </w:r>
      <w:r>
        <w:t xml:space="preserve"> and Table </w:t>
      </w:r>
      <w:r>
        <w:rPr>
          <w:noProof/>
        </w:rPr>
        <w:t>5</w:t>
      </w:r>
      <w:r>
        <w:t xml:space="preserve">. This indicates that adjusting for endogeneity with the two-stage procedure enables us to better capture the economic impact of LTVs on spreads. However, as a result of the two-stage procedure, the statistical significance level of LTV is much lower. </w:t>
      </w:r>
    </w:p>
    <w:p w14:paraId="5195BA3A" w14:textId="77777777" w:rsidR="0065555D" w:rsidRDefault="0065555D" w:rsidP="00FB3903">
      <w:pPr>
        <w:ind w:firstLine="720"/>
      </w:pPr>
      <w:r>
        <w:t xml:space="preserve">The results for 2SLS specification 1 show that mortgages on properties in largest tenant categories 3 and 4 without a lease rollover have spreads that are 5.45 and 5.24 basis points lower than spreads on mortgages for single-tenant properties without a lease rollover. However, tests that the sum of the L1 category dummy and the rollover interaction term show that borrowers lose this discount if the largest tenant’s lease expires before the mortgage matures. Thus, lease rollover risk is incorporated into spreads when properties are not highly diversified. The results also show that mortgages on properties in tenant size category 1 have higher spreads than mortgages single-tenant properties. </w:t>
      </w:r>
    </w:p>
    <w:p w14:paraId="78161770" w14:textId="77777777" w:rsidR="0065555D" w:rsidRDefault="0065555D" w:rsidP="00FB3903">
      <w:r>
        <w:tab/>
        <w:t>The 2SLS results when using HHI to measure tenant diversification are similar to those that are obtained when using the percent of square footage occupied by a property’s largest tenant as a proxy for diversification. Properties in HHI quantiles 4 and 5 have mortgages with spreads that are 5.06 and 5.15 basis points lower than spreads on mortgages on single-tenant properties, but they do not get this discount if the largest tenant’s lease expires before the mortgage matures. Additionally, properties in HHI quantile 1 have spreads that are 7.08 basis points higher than spreads on single-tenant properties without rollover risk.</w:t>
      </w:r>
    </w:p>
    <w:p w14:paraId="028E11C3" w14:textId="77777777" w:rsidR="0065555D" w:rsidRDefault="0065555D" w:rsidP="00FB3903">
      <w:r>
        <w:tab/>
        <w:t xml:space="preserve">The 2SLS results indicate that properties get lower spreads as they achieve moderate levels of diversification, but that they lose the discount if the lease of the largest tenant of the property expires before the mortgage matures. Mortgages on properties with higher levels of diversification have spreads that are significantly higher than spreads for mortgages on single-tenant properties, but these properties do not face a penalty for lease rollover risk. These results are consistent with those that are presented earlier in this paper. Thus, we conclude that our results are robust to adjusting for the joint determination of LTVs and spreads. </w:t>
      </w:r>
    </w:p>
    <w:p w14:paraId="1F4C12E0" w14:textId="77777777" w:rsidR="0065555D" w:rsidRPr="00D83951" w:rsidRDefault="00D83951" w:rsidP="00D83951">
      <w:pPr>
        <w:rPr>
          <w:b/>
          <w:sz w:val="28"/>
          <w:szCs w:val="28"/>
        </w:rPr>
      </w:pPr>
      <w:bookmarkStart w:id="1" w:name="_Ref399186138"/>
      <w:r>
        <w:rPr>
          <w:b/>
          <w:sz w:val="28"/>
          <w:szCs w:val="28"/>
        </w:rPr>
        <w:t xml:space="preserve">3 </w:t>
      </w:r>
      <w:r w:rsidR="0065555D" w:rsidRPr="00D83951">
        <w:rPr>
          <w:b/>
          <w:sz w:val="28"/>
          <w:szCs w:val="28"/>
        </w:rPr>
        <w:t>Tenant Diversification and the Likelihood of Mortgage Default</w:t>
      </w:r>
      <w:bookmarkEnd w:id="1"/>
    </w:p>
    <w:p w14:paraId="447CD539" w14:textId="77777777" w:rsidR="0065555D" w:rsidRDefault="0065555D" w:rsidP="00FB3903">
      <w:pPr>
        <w:ind w:firstLine="432"/>
      </w:pPr>
      <w:r>
        <w:t xml:space="preserve">In this section, we examine if tenant diversification at mortgage origination impacts the likelihood that the loan eventually goes into default. The Trepp loan file reports the delinquency status of each loan on every tape date. For each loan, we examine the loan’s delinquency status over its lifetime. </w:t>
      </w:r>
    </w:p>
    <w:p w14:paraId="040CBEE2" w14:textId="77777777" w:rsidR="0065555D" w:rsidRPr="00D83951" w:rsidRDefault="00D83951" w:rsidP="00D83951">
      <w:pPr>
        <w:rPr>
          <w:b/>
          <w:sz w:val="26"/>
          <w:szCs w:val="26"/>
        </w:rPr>
      </w:pPr>
      <w:r>
        <w:rPr>
          <w:b/>
          <w:sz w:val="26"/>
          <w:szCs w:val="26"/>
        </w:rPr>
        <w:t xml:space="preserve">3.1 </w:t>
      </w:r>
      <w:r w:rsidR="0065555D" w:rsidRPr="00D83951">
        <w:rPr>
          <w:b/>
          <w:sz w:val="26"/>
          <w:szCs w:val="26"/>
        </w:rPr>
        <w:t>Modeling the Likelihood of Mortgage Default</w:t>
      </w:r>
    </w:p>
    <w:p w14:paraId="7803890A" w14:textId="77777777" w:rsidR="0065555D" w:rsidRDefault="0065555D" w:rsidP="00FB3903">
      <w:pPr>
        <w:ind w:firstLine="432"/>
      </w:pPr>
      <w:r>
        <w:t xml:space="preserve">To model default likelihood, we use a logistic model in which the dependent variable is a dummy variable that equals 1 if the loan eventually becomes 90 or more </w:t>
      </w:r>
      <w:proofErr w:type="gramStart"/>
      <w:r>
        <w:t>days</w:t>
      </w:r>
      <w:proofErr w:type="gramEnd"/>
      <w:r>
        <w:t xml:space="preserve"> delinquent and 0 otherwise. We use a number of the same variables that were used in the spread analysis as explanatory variables in our default model, since variables that influence spreads are likely to reflect the default risk of the loan. In addition, many of these variables are in line with the existing literature that examines the likelihood of commercial mortgage default.</w:t>
      </w:r>
      <w:r>
        <w:rPr>
          <w:rStyle w:val="FootnoteReference"/>
        </w:rPr>
        <w:footnoteReference w:id="14"/>
      </w:r>
      <w:r>
        <w:t xml:space="preserve"> </w:t>
      </w:r>
    </w:p>
    <w:p w14:paraId="3AAD3387" w14:textId="77777777" w:rsidR="0065555D" w:rsidRDefault="0065555D" w:rsidP="00FB3903">
      <w:pPr>
        <w:ind w:firstLine="432"/>
      </w:pPr>
      <w:r>
        <w:t xml:space="preserve">The loan-specific characteristics that we include in the model are the spread, the loan-to-value ratio (LTV) expressed as a percentage, the amortization rate, the debt service coverage ratio (DSCR), and the number of years until the mortgage matures. The property-specific characteristics that we include in the default model are the natural log of the property’s value, the ratio of net operating income (NOI) to property value, the occupancy rate, and the property’s age in years. We also include U.S. census division dummies to control for the property’s location and the maturity matched Treasury bond rate to capture general market conditions and the risk associated with the loan’s term structure. Finally, we use various specifications of the percent of square footage occupied by the largest tenant, the tenant diversification HHI, and the largest tenant lease rollover dummies to examine how tenant diversification and lease structure influence default rates. </w:t>
      </w:r>
    </w:p>
    <w:p w14:paraId="219E954A" w14:textId="77777777" w:rsidR="0065555D" w:rsidRDefault="0065555D" w:rsidP="00FB3903">
      <w:pPr>
        <w:ind w:firstLine="432"/>
      </w:pPr>
      <w:r>
        <w:t xml:space="preserve">Summary statistics for several of the variables used in our model can be found in Table </w:t>
      </w:r>
      <w:r>
        <w:rPr>
          <w:noProof/>
        </w:rPr>
        <w:t>7</w:t>
      </w:r>
      <w:r>
        <w:t>.</w:t>
      </w:r>
      <w:r>
        <w:rPr>
          <w:rStyle w:val="FootnoteReference"/>
        </w:rPr>
        <w:footnoteReference w:id="15"/>
      </w:r>
      <w:r>
        <w:t xml:space="preserve"> Panel A presents summary statistics for variables included in regressions that use the percent of square footage occupied by the largest tenant as a proxy for diversification, and panel B presents statistics for the regressions that use HHI to measure tenant diversification. In each sample, about 11 percent of the loans eventually default. On average, the percent of square footage occupied by the largest tenant and the tenant HHI values are smaller for mortgages that default, indicating that mortgages on more diversified properties are more likely to default. </w:t>
      </w:r>
    </w:p>
    <w:p w14:paraId="5BD20A27" w14:textId="77777777" w:rsidR="0065555D" w:rsidRDefault="0065555D" w:rsidP="00FB3903">
      <w:pPr>
        <w:jc w:val="center"/>
      </w:pPr>
      <w:r>
        <w:t xml:space="preserve">[Insert Table </w:t>
      </w:r>
      <w:r>
        <w:rPr>
          <w:noProof/>
        </w:rPr>
        <w:t>7</w:t>
      </w:r>
      <w:r>
        <w:t xml:space="preserve"> around here.]</w:t>
      </w:r>
    </w:p>
    <w:p w14:paraId="23DC64F1" w14:textId="77777777" w:rsidR="0065555D" w:rsidRPr="00D83951" w:rsidRDefault="00D83951" w:rsidP="00D83951">
      <w:pPr>
        <w:rPr>
          <w:b/>
          <w:sz w:val="26"/>
          <w:szCs w:val="26"/>
        </w:rPr>
      </w:pPr>
      <w:r w:rsidRPr="00D83951">
        <w:rPr>
          <w:b/>
          <w:sz w:val="26"/>
          <w:szCs w:val="26"/>
        </w:rPr>
        <w:t xml:space="preserve">3.2 </w:t>
      </w:r>
      <w:r w:rsidR="0065555D" w:rsidRPr="00D83951">
        <w:rPr>
          <w:b/>
          <w:sz w:val="26"/>
          <w:szCs w:val="26"/>
        </w:rPr>
        <w:t>Default Model Regression Results</w:t>
      </w:r>
    </w:p>
    <w:p w14:paraId="5919452B" w14:textId="77777777" w:rsidR="0065555D" w:rsidRDefault="0065555D" w:rsidP="00FB3903">
      <w:pPr>
        <w:ind w:firstLine="450"/>
      </w:pPr>
      <w:r>
        <w:t xml:space="preserve">The results for logistic regressions modeling eventual default are shown in Table </w:t>
      </w:r>
      <w:r>
        <w:rPr>
          <w:noProof/>
        </w:rPr>
        <w:t>8</w:t>
      </w:r>
      <w:r>
        <w:t>. Panel A displays the results for 4 different specifications that use the percent of square footage occupied by the largest tenant (L1%) as a proxy for tenant diversification. The first specification includes L1% as a continuous variable. The coefficient estimate on L1% is negative and significant, indicating that as tenant diversification increases, the likelihood of mortgage default increases. The second specification uses the square of L1% scaled by 100 to measure tenant diversification. Similar to the first specification, the coefficient on L1%</w:t>
      </w:r>
      <w:r w:rsidRPr="00641FA5">
        <w:rPr>
          <w:vertAlign w:val="superscript"/>
        </w:rPr>
        <w:t>2</w:t>
      </w:r>
      <w:r>
        <w:t xml:space="preserve"> is negative and significant. The results for the third specification are also similar. The coefficient estimates on the dummy variables for L1 categories 1 through 4 are positive and significant, indicating that diversified properties are more likely to default than single-tenant properties. Additionally, the coefficient estimates on the L1 dummy variables increase monotonically as the L1 category decreases, indicating that the likelihood of mortgage default increases as tenant diversification increases. </w:t>
      </w:r>
      <w:r w:rsidRPr="00970A36">
        <w:t xml:space="preserve">The </w:t>
      </w:r>
      <w:r>
        <w:t>fourth</w:t>
      </w:r>
      <w:r w:rsidRPr="00970A36">
        <w:t xml:space="preserve"> specification in</w:t>
      </w:r>
      <w:r>
        <w:t xml:space="preserve">cludes lease rollover interaction terms with the L1 category dummy variables. The coefficients on the dummy variables are positive and significant for L1 categories 1 through 4, meaning that loans on properties in these categories without a lease rollover are more likely to go into default than loans on single-tenant properties without lease rollovers. The lease rollover interaction term is also significantly positive for each of these categories, indicating that there is increased default risk for mortgages on properties in each of those L1 categories when the largest tenant of the property has a lease expires before mortgage maturity. </w:t>
      </w:r>
    </w:p>
    <w:p w14:paraId="397F77BC" w14:textId="77777777" w:rsidR="0065555D" w:rsidRDefault="0065555D" w:rsidP="00FB3903">
      <w:pPr>
        <w:jc w:val="center"/>
      </w:pPr>
      <w:r>
        <w:t xml:space="preserve">[Insert Table </w:t>
      </w:r>
      <w:r>
        <w:rPr>
          <w:noProof/>
        </w:rPr>
        <w:t>8</w:t>
      </w:r>
      <w:r>
        <w:t xml:space="preserve"> around here.]</w:t>
      </w:r>
    </w:p>
    <w:p w14:paraId="6A213D76" w14:textId="77777777" w:rsidR="0065555D" w:rsidRDefault="0065555D" w:rsidP="00FB3903">
      <w:r>
        <w:tab/>
        <w:t xml:space="preserve">Panel B of Table </w:t>
      </w:r>
      <w:r>
        <w:rPr>
          <w:noProof/>
        </w:rPr>
        <w:t>8</w:t>
      </w:r>
      <w:r>
        <w:t xml:space="preserve"> shows logistic regression results when using tenant HHI as a proxy for tenant diversification. Specification 1 includes HHI as a continuous variable. The coefficient estimate on HHI is negative and significant, meaning that as diversification increases, default risk increases. In the second specification, coefficients for all HHI quantiles are positive and significant, and the coefficients increase monotonically as tenant diversification in each category increases. Thus, diversified properties have higher default risk than single-tenant properties, and this risk increases with the level of diversification. Specification 3 also shows that diversified properties have higher default risk than single-tenant properties. In addition, default risk increases for all HHI quantiles when the lease of the property’s largest tenant expires before the lease matures. This risk is largest for the least diversified properties, as the coefficient estimates on the rollover dummy interaction term is highest for HHI quantiles 5 and 6. This indicates that diversification provides some protection against lease rollover risk, but that it does not eliminate rollover risk entirely. </w:t>
      </w:r>
    </w:p>
    <w:p w14:paraId="183FD3BA" w14:textId="77777777" w:rsidR="0065555D" w:rsidRPr="00537067" w:rsidRDefault="0065555D" w:rsidP="00FB3903">
      <w:pPr>
        <w:ind w:firstLine="450"/>
      </w:pPr>
      <w:r>
        <w:t xml:space="preserve"> The default results provide a strong indication that, holding all else constant, as the level of tenant diversification increases, the likelihood of mortgage default increases. Thus, while lenders and developers may prefer properties with some tenant diversification, increasing the level of tenant diversification leads to increased default risk. While this does not reflect what one would typically expect from diversification, there are reasons that retail properties may benefit from having a single tenant that occupies a substantial proportion, if not all, of the property’s space. One of the benefits of having a large tenant is that the tenant is likely to have better, more stable credit than a number of smaller tenants that could occupy the same amount of space. Thus, a large tenant may provide less risky cash flows than a number of small tenants splitting that space. Additionally, for properties with multiple tenants, a large tenant may generate significant externalities by increasing business for smaller tenants. This means that a property with some small tenants is likely to be less risky if that property has a large anchor to draw customers for all of the property’s tenants. The results also indicate that default risk increases when the lease of the property’s largest tenant expires before the mortgage matures</w:t>
      </w:r>
      <w:r w:rsidRPr="00537067">
        <w:t>.</w:t>
      </w:r>
      <w:r>
        <w:t xml:space="preserve"> This underscores the importance of locking large tenants into long term leases.  </w:t>
      </w:r>
    </w:p>
    <w:p w14:paraId="63AA43B6" w14:textId="77777777" w:rsidR="0065555D" w:rsidRPr="00D83951" w:rsidRDefault="00D83951" w:rsidP="00D83951">
      <w:pPr>
        <w:rPr>
          <w:b/>
          <w:sz w:val="28"/>
        </w:rPr>
      </w:pPr>
      <w:r>
        <w:rPr>
          <w:b/>
          <w:sz w:val="28"/>
        </w:rPr>
        <w:t xml:space="preserve">4 </w:t>
      </w:r>
      <w:r w:rsidR="0065555D" w:rsidRPr="00D83951">
        <w:rPr>
          <w:b/>
          <w:sz w:val="28"/>
        </w:rPr>
        <w:t>Conclusion</w:t>
      </w:r>
    </w:p>
    <w:p w14:paraId="15F47F5A" w14:textId="77777777" w:rsidR="0065555D" w:rsidRDefault="0065555D" w:rsidP="00FB3903">
      <w:pPr>
        <w:ind w:firstLine="432"/>
      </w:pPr>
      <w:r>
        <w:t>Existing research on commercial mortgages clearly indicates that tenant characteristics are important in assessing the risk of a commercial mortgage. Additionally, research has found that the structure of tenants within a commercial property is important. In this paper, we use the percent of square footage occupied by a property’s largest tenants to generate proxies for tenant diversification, and we investigate the degree to which tenant diversification influences spreads and default rates on mortgages for retail properties.</w:t>
      </w:r>
    </w:p>
    <w:p w14:paraId="5FC65831" w14:textId="77777777" w:rsidR="0065555D" w:rsidRDefault="0065555D" w:rsidP="00FB3903">
      <w:pPr>
        <w:ind w:firstLine="432"/>
      </w:pPr>
      <w:r>
        <w:t xml:space="preserve">We find that properties with moderate levels of tenant diversification receive lower mortgage spreads than single-tenant properties, but that spreads of mortgages on properties with high levels of diversification are higher than spreads of mortgages on single-tenant properties. The spread discount that exists for mortgages on properties with moderate levels of diversification only exists for properties in which the largest tenant’s lease does not expire before the mortgage matures. These results highlight the importance that lenders place on anchor tenants. Large tenants are important because they are able to generate significant sales externalities for smaller tenants on the property, and highly diversified properties are likely to lack an anchor tenant and therefore lose the benefit of these externalities. Large tenants may also be important to lenders because these tenants are likely to be more credit-worthy than smaller tenants, meaning that cash flows from a large tenant are considered to be less risky than those generated by a number of smaller tenants despite the increased diversification that is attained from having a larger number of tenants. While large tenants are important, the results indicate that lenders are concerned about the lease structure of these tenants, as the spread discount for properties with moderate levels of tenant diversification disappears if the lease of the property’s largest tenant expires before the mortgage matures. Spreads for highly diversified properties that face this same rollover risk are not different from spreads for highly diversified properties without this risk, so tenant diversification may be seen as protection against the risk that the largest tenant may vacate the property. </w:t>
      </w:r>
    </w:p>
    <w:p w14:paraId="573227FE" w14:textId="77777777" w:rsidR="0065555D" w:rsidRDefault="0065555D" w:rsidP="00FB3903">
      <w:pPr>
        <w:ind w:firstLine="432"/>
      </w:pPr>
      <w:r>
        <w:t xml:space="preserve">While mortgages on properties with moderate levels of tenant diversification have lower spreads, we find that default risk increases as tenant diversification increases. Thus, tenant diversification does not result in lower default risk. Instead, properties with larger tenants and lower levels of diversification are less risky. Additionally, regardless of how diversified a property is, default risk on the property’s mortgage increases if the lease of the property’s largest tenant expires before the mortgage matures. The default results provide further evidence about the importance of large tenants, as properties with lower levels of diversification are less likely to default. They also indicate that lenders may overvalue externalities provided by anchor tenants in moderately diversified properties, as these properties have lower mortgage spreads than single-tenant properties but higher default rates than single-tenant properties. </w:t>
      </w:r>
    </w:p>
    <w:p w14:paraId="3A350D19" w14:textId="77777777" w:rsidR="0065555D" w:rsidRDefault="0065555D" w:rsidP="00FB3903">
      <w:pPr>
        <w:ind w:firstLine="432"/>
      </w:pPr>
      <w:r w:rsidRPr="002D5738">
        <w:t xml:space="preserve">One of the drawbacks of our study is that </w:t>
      </w:r>
      <w:r>
        <w:t>we do not have data about the credit quality of a property’s tenants. Our default analysis indicates that diversification increases default risk, but large tenants in properties with low levels of diversification may be high quality, creditworthy tenants. For these properties, lenders should easily be able to identify the quality of the largest tenants, so they may only extend loans to undiversified properties if the tenants are safe and stable. Similarly, the credit quality of tenants is likely to be an important factor in determining credit spreads on commercial mortgages. Moderately diversified properties with 1 or 2 large tenants may get lower spreads than single-tenant properties because of the credit quality of the large tenants and the externalities the large tenants provide for the property’s smaller tenants. Because we do not have access to data on the credit quality of tenants in a property, we are unable to control for tenant credit risk in this paper. This is a potentially fruitful avenue for further research.</w:t>
      </w:r>
    </w:p>
    <w:p w14:paraId="2044390C" w14:textId="77777777" w:rsidR="0065555D" w:rsidRDefault="0065555D" w:rsidP="00FB3903">
      <w:pPr>
        <w:sectPr w:rsidR="0065555D">
          <w:footnotePr>
            <w:numRestart w:val="eachSect"/>
          </w:footnotePr>
          <w:pgSz w:w="12240" w:h="15840"/>
          <w:pgMar w:top="1440" w:right="1440" w:bottom="1440" w:left="1440" w:header="720" w:footer="720" w:gutter="0"/>
          <w:cols w:space="720"/>
          <w:docGrid w:linePitch="360"/>
        </w:sectPr>
      </w:pPr>
    </w:p>
    <w:p w14:paraId="744D4757" w14:textId="77777777" w:rsidR="0065555D" w:rsidRPr="00CF7132" w:rsidRDefault="0065555D" w:rsidP="0065555D">
      <w:pPr>
        <w:pStyle w:val="Heading1"/>
        <w:numPr>
          <w:ilvl w:val="0"/>
          <w:numId w:val="0"/>
        </w:numPr>
        <w:spacing w:before="0"/>
        <w:ind w:left="432" w:hanging="432"/>
        <w:contextualSpacing w:val="0"/>
      </w:pPr>
      <w:r w:rsidRPr="00CF7132">
        <w:t>References</w:t>
      </w:r>
    </w:p>
    <w:p w14:paraId="53B6C778" w14:textId="77777777" w:rsidR="0065555D" w:rsidRPr="00C30122" w:rsidRDefault="0065555D" w:rsidP="0065555D">
      <w:pPr>
        <w:pStyle w:val="EndNoteBibliography"/>
        <w:ind w:left="720" w:hanging="720"/>
        <w:contextualSpacing w:val="0"/>
      </w:pPr>
      <w:r w:rsidRPr="00C30122">
        <w:t xml:space="preserve">Acharya, Viral V., Hasan, I., &amp; Saunders, A. (2006). Should Banks Be Diversified? Evidence from Individual Bank Loan Portfolios. </w:t>
      </w:r>
      <w:r w:rsidRPr="00C30122">
        <w:rPr>
          <w:i/>
        </w:rPr>
        <w:t>The Journal of Business,</w:t>
      </w:r>
      <w:r w:rsidR="00DC68D6">
        <w:rPr>
          <w:i/>
        </w:rPr>
        <w:t xml:space="preserve"> </w:t>
      </w:r>
      <w:r w:rsidRPr="00C30122">
        <w:rPr>
          <w:i/>
        </w:rPr>
        <w:t>79</w:t>
      </w:r>
      <w:r w:rsidRPr="00C30122">
        <w:t>(3), 1355-1412.</w:t>
      </w:r>
    </w:p>
    <w:p w14:paraId="260F31F8" w14:textId="77777777" w:rsidR="0065555D" w:rsidRPr="00C30122" w:rsidRDefault="0065555D" w:rsidP="0065555D">
      <w:pPr>
        <w:pStyle w:val="EndNoteBibliography"/>
        <w:spacing w:before="240"/>
        <w:ind w:left="720" w:hanging="720"/>
        <w:contextualSpacing w:val="0"/>
      </w:pPr>
      <w:r w:rsidRPr="00C30122">
        <w:t xml:space="preserve">Ambrose, B. W., Benjamin, J. D., &amp; Chinloy, P. (2003). Bank and Nonbank Lenders and the Commercial Mortgage Market. </w:t>
      </w:r>
      <w:r w:rsidRPr="00C30122">
        <w:rPr>
          <w:i/>
        </w:rPr>
        <w:t>Journal of Real Estate Finance &amp; Economics,</w:t>
      </w:r>
      <w:r w:rsidR="00DC68D6">
        <w:rPr>
          <w:i/>
        </w:rPr>
        <w:t xml:space="preserve"> </w:t>
      </w:r>
      <w:r w:rsidRPr="00C30122">
        <w:rPr>
          <w:i/>
        </w:rPr>
        <w:t>26</w:t>
      </w:r>
      <w:r w:rsidRPr="00C30122">
        <w:t>(1), 81.</w:t>
      </w:r>
    </w:p>
    <w:p w14:paraId="2FFCB5BC" w14:textId="77777777" w:rsidR="0065555D" w:rsidRPr="00C30122" w:rsidRDefault="0065555D" w:rsidP="0065555D">
      <w:pPr>
        <w:pStyle w:val="EndNoteBibliography"/>
        <w:spacing w:before="240"/>
        <w:ind w:left="720" w:hanging="720"/>
        <w:contextualSpacing w:val="0"/>
      </w:pPr>
      <w:r w:rsidRPr="00C30122">
        <w:t xml:space="preserve">Ambrose, B. W., &amp; Sanders, A. B. (2003). Commercial Mortgage-Backed Securities: Prepayment and Default. </w:t>
      </w:r>
      <w:r w:rsidRPr="00C30122">
        <w:rPr>
          <w:i/>
        </w:rPr>
        <w:t>Journal of Real Estate Finance &amp; Economics,</w:t>
      </w:r>
      <w:r w:rsidR="00DC68D6">
        <w:rPr>
          <w:i/>
        </w:rPr>
        <w:t xml:space="preserve"> </w:t>
      </w:r>
      <w:r w:rsidRPr="00C30122">
        <w:rPr>
          <w:i/>
        </w:rPr>
        <w:t>26</w:t>
      </w:r>
      <w:r w:rsidRPr="00C30122">
        <w:t>(2/3), 179.</w:t>
      </w:r>
    </w:p>
    <w:p w14:paraId="0CD4C172" w14:textId="77777777" w:rsidR="0065555D" w:rsidRPr="00C30122" w:rsidRDefault="0065555D" w:rsidP="0065555D">
      <w:pPr>
        <w:pStyle w:val="EndNoteBibliography"/>
        <w:spacing w:before="240"/>
        <w:ind w:left="720" w:hanging="720"/>
        <w:contextualSpacing w:val="0"/>
      </w:pPr>
      <w:r w:rsidRPr="00C30122">
        <w:t xml:space="preserve">Archer, W. R., Elmer, P. J., Harrison, D. M., &amp; Ling, D. C. (2002). Determinants of Multifamily Mortgage Default. </w:t>
      </w:r>
      <w:r w:rsidRPr="00C30122">
        <w:rPr>
          <w:i/>
        </w:rPr>
        <w:t>Real Estate Economics,</w:t>
      </w:r>
      <w:r w:rsidR="00DC68D6">
        <w:rPr>
          <w:i/>
        </w:rPr>
        <w:t xml:space="preserve"> </w:t>
      </w:r>
      <w:r w:rsidRPr="00C30122">
        <w:rPr>
          <w:i/>
        </w:rPr>
        <w:t>30</w:t>
      </w:r>
      <w:r w:rsidRPr="00C30122">
        <w:t>(3), 445-473.</w:t>
      </w:r>
    </w:p>
    <w:p w14:paraId="590DE537" w14:textId="77777777" w:rsidR="0065555D" w:rsidRPr="00C30122" w:rsidRDefault="0065555D" w:rsidP="0065555D">
      <w:pPr>
        <w:pStyle w:val="EndNoteBibliography"/>
        <w:spacing w:before="240"/>
        <w:ind w:left="720" w:hanging="720"/>
        <w:contextualSpacing w:val="0"/>
      </w:pPr>
      <w:r w:rsidRPr="00C30122">
        <w:t xml:space="preserve">Bebczuk, R., &amp; Galindo, A. (2008). Financial crisis and sectoral diversification of Argentine banks, 1999-2004. </w:t>
      </w:r>
      <w:r w:rsidRPr="00C30122">
        <w:rPr>
          <w:i/>
        </w:rPr>
        <w:t>Applied Financial Economics,</w:t>
      </w:r>
      <w:r w:rsidR="00DC68D6">
        <w:rPr>
          <w:i/>
        </w:rPr>
        <w:t xml:space="preserve"> </w:t>
      </w:r>
      <w:r w:rsidRPr="00C30122">
        <w:rPr>
          <w:i/>
        </w:rPr>
        <w:t>18</w:t>
      </w:r>
      <w:r w:rsidRPr="00C30122">
        <w:t>(3), 199-211.</w:t>
      </w:r>
    </w:p>
    <w:p w14:paraId="051F4EAB" w14:textId="77777777" w:rsidR="0065555D" w:rsidRPr="00C30122" w:rsidRDefault="0065555D" w:rsidP="0065555D">
      <w:pPr>
        <w:pStyle w:val="EndNoteBibliography"/>
        <w:spacing w:before="240"/>
        <w:ind w:left="720" w:hanging="720"/>
        <w:contextualSpacing w:val="0"/>
      </w:pPr>
      <w:r w:rsidRPr="00C30122">
        <w:t xml:space="preserve">Berger, A. N., Hasan, I., &amp; Zhou, M. (2010). The effects of focus versus diversification on bank performance: Evidence from Chinese banks. </w:t>
      </w:r>
      <w:r w:rsidRPr="00C30122">
        <w:rPr>
          <w:i/>
        </w:rPr>
        <w:t>Journal of Banking &amp; Finance,</w:t>
      </w:r>
      <w:r w:rsidR="00DC68D6">
        <w:rPr>
          <w:i/>
        </w:rPr>
        <w:t xml:space="preserve"> </w:t>
      </w:r>
      <w:r w:rsidRPr="00C30122">
        <w:rPr>
          <w:i/>
        </w:rPr>
        <w:t>34</w:t>
      </w:r>
      <w:r w:rsidRPr="00C30122">
        <w:t>(7), 1417-1435.</w:t>
      </w:r>
    </w:p>
    <w:p w14:paraId="1D19A7E0" w14:textId="77777777" w:rsidR="0065555D" w:rsidRPr="00C30122" w:rsidRDefault="0065555D" w:rsidP="0065555D">
      <w:pPr>
        <w:pStyle w:val="EndNoteBibliography"/>
        <w:spacing w:before="240"/>
        <w:ind w:left="720" w:hanging="720"/>
        <w:contextualSpacing w:val="0"/>
      </w:pPr>
      <w:r w:rsidRPr="00C30122">
        <w:t xml:space="preserve">Brueckner, J. K. (1993). Inter-Store Externalities and Space Allocation in Shopping Centers. </w:t>
      </w:r>
      <w:r w:rsidRPr="00C30122">
        <w:rPr>
          <w:i/>
        </w:rPr>
        <w:t>Journal of Real Estate Finance &amp; Economics,</w:t>
      </w:r>
      <w:r w:rsidR="00DC68D6">
        <w:rPr>
          <w:i/>
        </w:rPr>
        <w:t xml:space="preserve"> </w:t>
      </w:r>
      <w:r w:rsidRPr="00C30122">
        <w:rPr>
          <w:i/>
        </w:rPr>
        <w:t>7</w:t>
      </w:r>
      <w:r w:rsidRPr="00C30122">
        <w:t>(1), 5-16.</w:t>
      </w:r>
    </w:p>
    <w:p w14:paraId="7C4A073A" w14:textId="77777777" w:rsidR="0065555D" w:rsidRPr="00C30122" w:rsidRDefault="0065555D" w:rsidP="0065555D">
      <w:pPr>
        <w:pStyle w:val="EndNoteBibliography"/>
        <w:spacing w:before="240"/>
        <w:ind w:left="720" w:hanging="720"/>
        <w:contextualSpacing w:val="0"/>
      </w:pPr>
      <w:r w:rsidRPr="00C30122">
        <w:t xml:space="preserve">Cho, H., &amp; Shilling, J. D. (2007). Valuing Retail Shopping Center Lease Contracts. </w:t>
      </w:r>
      <w:r w:rsidRPr="00C30122">
        <w:rPr>
          <w:i/>
        </w:rPr>
        <w:t>Real Estate Economics,</w:t>
      </w:r>
      <w:r w:rsidR="00DC68D6">
        <w:rPr>
          <w:i/>
        </w:rPr>
        <w:t xml:space="preserve"> </w:t>
      </w:r>
      <w:r w:rsidRPr="00C30122">
        <w:rPr>
          <w:i/>
        </w:rPr>
        <w:t>35</w:t>
      </w:r>
      <w:r w:rsidRPr="00C30122">
        <w:t>(4), 623-649.</w:t>
      </w:r>
    </w:p>
    <w:p w14:paraId="3F042785" w14:textId="77777777" w:rsidR="0065555D" w:rsidRPr="00C30122" w:rsidRDefault="0065555D" w:rsidP="0065555D">
      <w:pPr>
        <w:pStyle w:val="EndNoteBibliography"/>
        <w:spacing w:before="240"/>
        <w:ind w:left="720" w:hanging="720"/>
        <w:contextualSpacing w:val="0"/>
      </w:pPr>
      <w:r w:rsidRPr="00C30122">
        <w:t xml:space="preserve">Christopoulos, A. D., Jarrow, R. A., &amp; Yildirim, Y. (2008). Commercial Mortgage-Backed Securities (CMBS) and Market Efficiency with Respect to Costly Information. </w:t>
      </w:r>
      <w:r w:rsidRPr="00C30122">
        <w:rPr>
          <w:i/>
        </w:rPr>
        <w:t>Real Estate Economics,</w:t>
      </w:r>
      <w:r w:rsidR="00DC68D6">
        <w:rPr>
          <w:i/>
        </w:rPr>
        <w:t xml:space="preserve"> </w:t>
      </w:r>
      <w:r w:rsidRPr="00C30122">
        <w:rPr>
          <w:i/>
        </w:rPr>
        <w:t>36</w:t>
      </w:r>
      <w:r w:rsidRPr="00C30122">
        <w:t>(3), 441-498.</w:t>
      </w:r>
    </w:p>
    <w:p w14:paraId="1D6CDF14" w14:textId="77777777" w:rsidR="0065555D" w:rsidRPr="00C30122" w:rsidRDefault="0065555D" w:rsidP="0065555D">
      <w:pPr>
        <w:pStyle w:val="EndNoteBibliography"/>
        <w:spacing w:before="240"/>
        <w:ind w:left="720" w:hanging="720"/>
        <w:contextualSpacing w:val="0"/>
      </w:pPr>
      <w:r w:rsidRPr="00C30122">
        <w:t xml:space="preserve">Ciochetti, B. A., Yongheng, D., Lee, G., Shilling, J. D., &amp; Rui, Y. (2003). A Proportional Hazards Model of Commercial Mortgage Default with Originator Bias. </w:t>
      </w:r>
      <w:r w:rsidRPr="00C30122">
        <w:rPr>
          <w:i/>
        </w:rPr>
        <w:t>Journal of Real Estate Finance &amp; Economics,</w:t>
      </w:r>
      <w:r w:rsidR="00DC68D6">
        <w:rPr>
          <w:i/>
        </w:rPr>
        <w:t xml:space="preserve"> </w:t>
      </w:r>
      <w:r w:rsidRPr="00C30122">
        <w:rPr>
          <w:i/>
        </w:rPr>
        <w:t>27</w:t>
      </w:r>
      <w:r w:rsidRPr="00C30122">
        <w:t>(1), 5.</w:t>
      </w:r>
    </w:p>
    <w:p w14:paraId="74B6B9DC" w14:textId="77777777" w:rsidR="0065555D" w:rsidRPr="00C30122" w:rsidRDefault="0065555D" w:rsidP="0065555D">
      <w:pPr>
        <w:pStyle w:val="EndNoteBibliography"/>
        <w:spacing w:before="240"/>
        <w:ind w:left="720" w:hanging="720"/>
        <w:contextualSpacing w:val="0"/>
      </w:pPr>
      <w:r w:rsidRPr="00C30122">
        <w:t xml:space="preserve">Ciochetti, B. A., Young, D., Bin, G., &amp; Rui, Y. (2002). The Termination of Commercial Mortgage Contracts through Prepayment and Default: A Proportional Hazard Approach with Competing Risks. </w:t>
      </w:r>
      <w:r w:rsidRPr="00C30122">
        <w:rPr>
          <w:i/>
        </w:rPr>
        <w:t>Real Estate Economics,</w:t>
      </w:r>
      <w:r w:rsidR="00DC68D6">
        <w:rPr>
          <w:i/>
        </w:rPr>
        <w:t xml:space="preserve"> </w:t>
      </w:r>
      <w:r w:rsidRPr="00C30122">
        <w:rPr>
          <w:i/>
        </w:rPr>
        <w:t>30</w:t>
      </w:r>
      <w:r w:rsidRPr="00C30122">
        <w:t>(4), 595-633.</w:t>
      </w:r>
    </w:p>
    <w:p w14:paraId="21052496" w14:textId="77777777" w:rsidR="0065555D" w:rsidRPr="00C30122" w:rsidRDefault="0065555D" w:rsidP="0065555D">
      <w:pPr>
        <w:pStyle w:val="EndNoteBibliography"/>
        <w:spacing w:before="240"/>
        <w:ind w:left="720" w:hanging="720"/>
        <w:contextualSpacing w:val="0"/>
      </w:pPr>
      <w:r w:rsidRPr="00C30122">
        <w:t xml:space="preserve">Colwell, P. F., &amp; Munneke, H. J. (1998). Percentage Leases and the Advantages of Regional Malls. </w:t>
      </w:r>
      <w:r w:rsidRPr="00C30122">
        <w:rPr>
          <w:i/>
        </w:rPr>
        <w:t>Journal of Real Estate Research,</w:t>
      </w:r>
      <w:r w:rsidR="00DC68D6">
        <w:rPr>
          <w:i/>
        </w:rPr>
        <w:t xml:space="preserve"> </w:t>
      </w:r>
      <w:r w:rsidRPr="00C30122">
        <w:rPr>
          <w:i/>
        </w:rPr>
        <w:t>15</w:t>
      </w:r>
      <w:r w:rsidRPr="00C30122">
        <w:t>(3), 239.</w:t>
      </w:r>
    </w:p>
    <w:p w14:paraId="5D59451D" w14:textId="77777777" w:rsidR="0065555D" w:rsidRPr="00C30122" w:rsidRDefault="0065555D" w:rsidP="0065555D">
      <w:pPr>
        <w:pStyle w:val="EndNoteBibliography"/>
        <w:spacing w:before="240"/>
        <w:ind w:left="720" w:hanging="720"/>
        <w:contextualSpacing w:val="0"/>
      </w:pPr>
      <w:r w:rsidRPr="00C30122">
        <w:t xml:space="preserve">Des Rosiers, F., Thériault, M., &amp; Lavoie, C. (2009). Retail Concentration and Shopping Center Rents - A Comparison of Two Cities. </w:t>
      </w:r>
      <w:r w:rsidRPr="00C30122">
        <w:rPr>
          <w:i/>
        </w:rPr>
        <w:t>Journal of Real Estate Research,</w:t>
      </w:r>
      <w:r w:rsidR="00DC68D6">
        <w:rPr>
          <w:i/>
        </w:rPr>
        <w:t xml:space="preserve"> </w:t>
      </w:r>
      <w:r w:rsidRPr="00C30122">
        <w:rPr>
          <w:i/>
        </w:rPr>
        <w:t>31</w:t>
      </w:r>
      <w:r w:rsidRPr="00C30122">
        <w:t>(2), 165-207.</w:t>
      </w:r>
    </w:p>
    <w:p w14:paraId="44BD5355" w14:textId="77777777" w:rsidR="0065555D" w:rsidRPr="00C30122" w:rsidRDefault="0065555D" w:rsidP="0065555D">
      <w:pPr>
        <w:pStyle w:val="EndNoteBibliography"/>
        <w:spacing w:before="240"/>
        <w:ind w:left="720" w:hanging="720"/>
        <w:contextualSpacing w:val="0"/>
      </w:pPr>
      <w:r w:rsidRPr="00C30122">
        <w:t xml:space="preserve">Fuerst, F., &amp; Marcato, G. (2009). Style Analysis in Real Estate Markets: Beyond the Sector and Region Dichotomy. </w:t>
      </w:r>
      <w:r w:rsidRPr="00C30122">
        <w:rPr>
          <w:i/>
        </w:rPr>
        <w:t>Journal of Portfolio Management,</w:t>
      </w:r>
      <w:r w:rsidR="00DC68D6">
        <w:rPr>
          <w:i/>
        </w:rPr>
        <w:t xml:space="preserve"> </w:t>
      </w:r>
      <w:r w:rsidRPr="00C30122">
        <w:rPr>
          <w:i/>
        </w:rPr>
        <w:t>35</w:t>
      </w:r>
      <w:r w:rsidRPr="00C30122">
        <w:t>(5), 104-117.</w:t>
      </w:r>
    </w:p>
    <w:p w14:paraId="2E32D000" w14:textId="77777777" w:rsidR="0065555D" w:rsidRPr="00C30122" w:rsidRDefault="0065555D" w:rsidP="0065555D">
      <w:pPr>
        <w:pStyle w:val="EndNoteBibliography"/>
        <w:spacing w:before="240"/>
        <w:ind w:left="720" w:hanging="720"/>
        <w:contextualSpacing w:val="0"/>
      </w:pPr>
      <w:r w:rsidRPr="00C30122">
        <w:t xml:space="preserve">Giroud, X., &amp; Mueller, H. M. (2011). Corporate Governance, Product Market Competition, and Equity Prices. </w:t>
      </w:r>
      <w:r w:rsidRPr="00C30122">
        <w:rPr>
          <w:i/>
        </w:rPr>
        <w:t>The Journal of Finance,</w:t>
      </w:r>
      <w:r w:rsidR="00DC68D6">
        <w:rPr>
          <w:i/>
        </w:rPr>
        <w:t xml:space="preserve"> </w:t>
      </w:r>
      <w:r w:rsidRPr="00C30122">
        <w:rPr>
          <w:i/>
        </w:rPr>
        <w:t>66</w:t>
      </w:r>
      <w:r w:rsidRPr="00C30122">
        <w:t>(2), 563-600.</w:t>
      </w:r>
    </w:p>
    <w:p w14:paraId="6E626DF5" w14:textId="77777777" w:rsidR="0065555D" w:rsidRPr="00C30122" w:rsidRDefault="0065555D" w:rsidP="0065555D">
      <w:pPr>
        <w:pStyle w:val="EndNoteBibliography"/>
        <w:spacing w:before="240"/>
        <w:ind w:left="720" w:hanging="720"/>
        <w:contextualSpacing w:val="0"/>
      </w:pPr>
      <w:r w:rsidRPr="00C30122">
        <w:t xml:space="preserve">Gould, E. D., Pashigian, B. P., &amp; Prendergast, C. J. (2005). Contracts, Externalities, and Incentives in Shopping Malls. </w:t>
      </w:r>
      <w:r w:rsidRPr="00C30122">
        <w:rPr>
          <w:i/>
        </w:rPr>
        <w:t>The Review of Economics and Statistics,</w:t>
      </w:r>
      <w:r w:rsidR="00DC68D6">
        <w:rPr>
          <w:i/>
        </w:rPr>
        <w:t xml:space="preserve"> </w:t>
      </w:r>
      <w:r w:rsidRPr="00C30122">
        <w:rPr>
          <w:i/>
        </w:rPr>
        <w:t>87</w:t>
      </w:r>
      <w:r w:rsidRPr="00C30122">
        <w:t>(3), 411-422.</w:t>
      </w:r>
    </w:p>
    <w:p w14:paraId="512147AA" w14:textId="77777777" w:rsidR="0065555D" w:rsidRPr="00C30122" w:rsidRDefault="0065555D" w:rsidP="0065555D">
      <w:pPr>
        <w:pStyle w:val="EndNoteBibliography"/>
        <w:spacing w:before="240"/>
        <w:ind w:left="720" w:hanging="720"/>
        <w:contextualSpacing w:val="0"/>
      </w:pPr>
      <w:r w:rsidRPr="00C30122">
        <w:t xml:space="preserve">Grovenstein, R. A., Harding, J. P., Sirmans, C. F., Thebpanya, S., &amp; Turnbull, G. K. (2005). Commercial mortgage underwriting: How well do lenders manage the risks? </w:t>
      </w:r>
      <w:r w:rsidRPr="00C30122">
        <w:rPr>
          <w:i/>
        </w:rPr>
        <w:t>Journal of Housing Economics,</w:t>
      </w:r>
      <w:r w:rsidR="00DC68D6">
        <w:rPr>
          <w:i/>
        </w:rPr>
        <w:t xml:space="preserve"> </w:t>
      </w:r>
      <w:r w:rsidRPr="00C30122">
        <w:rPr>
          <w:i/>
        </w:rPr>
        <w:t>14</w:t>
      </w:r>
      <w:r w:rsidRPr="00C30122">
        <w:t>(4), 355-383.</w:t>
      </w:r>
    </w:p>
    <w:p w14:paraId="04C721BF" w14:textId="77777777" w:rsidR="0065555D" w:rsidRPr="00C30122" w:rsidRDefault="0065555D" w:rsidP="0065555D">
      <w:pPr>
        <w:pStyle w:val="EndNoteBibliography"/>
        <w:spacing w:before="240"/>
        <w:ind w:left="720" w:hanging="720"/>
        <w:contextualSpacing w:val="0"/>
      </w:pPr>
      <w:r w:rsidRPr="00C30122">
        <w:t xml:space="preserve">MacKay, P., &amp; Phillips, G. M. (2005). How Does Industry Affect Firm Financial Structure? </w:t>
      </w:r>
      <w:r w:rsidRPr="00C30122">
        <w:rPr>
          <w:i/>
        </w:rPr>
        <w:t>Review of Financial Studies,</w:t>
      </w:r>
      <w:r w:rsidR="00DC68D6">
        <w:rPr>
          <w:i/>
        </w:rPr>
        <w:t xml:space="preserve"> </w:t>
      </w:r>
      <w:r w:rsidRPr="00C30122">
        <w:rPr>
          <w:i/>
        </w:rPr>
        <w:t>18</w:t>
      </w:r>
      <w:r w:rsidRPr="00C30122">
        <w:t>(4), 1433-1466.</w:t>
      </w:r>
    </w:p>
    <w:p w14:paraId="66665FD2" w14:textId="77777777" w:rsidR="0065555D" w:rsidRPr="00C30122" w:rsidRDefault="0065555D" w:rsidP="0065555D">
      <w:pPr>
        <w:pStyle w:val="EndNoteBibliography"/>
        <w:spacing w:before="240"/>
        <w:ind w:left="720" w:hanging="720"/>
        <w:contextualSpacing w:val="0"/>
      </w:pPr>
      <w:r w:rsidRPr="00C30122">
        <w:t xml:space="preserve">Maris, B. A., &amp; Segal, W. (2002). Analysis of Yield Spreads on Commercial Mortgage-Backed Securities. </w:t>
      </w:r>
      <w:r w:rsidRPr="00C30122">
        <w:rPr>
          <w:i/>
        </w:rPr>
        <w:t>Journal of Real Estate Research,</w:t>
      </w:r>
      <w:r w:rsidR="00DC68D6">
        <w:rPr>
          <w:i/>
        </w:rPr>
        <w:t xml:space="preserve"> </w:t>
      </w:r>
      <w:r w:rsidRPr="00C30122">
        <w:rPr>
          <w:i/>
        </w:rPr>
        <w:t>23</w:t>
      </w:r>
      <w:r w:rsidRPr="00C30122">
        <w:t>(3), 235.</w:t>
      </w:r>
    </w:p>
    <w:p w14:paraId="0076E76A" w14:textId="77777777" w:rsidR="0065555D" w:rsidRPr="00C30122" w:rsidRDefault="0065555D" w:rsidP="0065555D">
      <w:pPr>
        <w:pStyle w:val="EndNoteBibliography"/>
        <w:spacing w:before="240"/>
        <w:ind w:left="720" w:hanging="720"/>
        <w:contextualSpacing w:val="0"/>
      </w:pPr>
      <w:r w:rsidRPr="00C30122">
        <w:t xml:space="preserve">Mercieca, S., Schaeck, K., &amp; Wolfe, S. (2007). Small European banks: Benefits from diversification? </w:t>
      </w:r>
      <w:r w:rsidRPr="00C30122">
        <w:rPr>
          <w:i/>
        </w:rPr>
        <w:t>Journal of Banking &amp; Finance,</w:t>
      </w:r>
      <w:r w:rsidR="00DC68D6">
        <w:rPr>
          <w:i/>
        </w:rPr>
        <w:t xml:space="preserve"> </w:t>
      </w:r>
      <w:r w:rsidRPr="00C30122">
        <w:rPr>
          <w:i/>
        </w:rPr>
        <w:t>31</w:t>
      </w:r>
      <w:r w:rsidRPr="00C30122">
        <w:t>(7), 1975-1998.</w:t>
      </w:r>
    </w:p>
    <w:p w14:paraId="6C98851A" w14:textId="77777777" w:rsidR="0065555D" w:rsidRPr="00C30122" w:rsidRDefault="0065555D" w:rsidP="0065555D">
      <w:pPr>
        <w:pStyle w:val="EndNoteBibliography"/>
        <w:spacing w:before="240"/>
        <w:ind w:left="720" w:hanging="720"/>
        <w:contextualSpacing w:val="0"/>
      </w:pPr>
      <w:r w:rsidRPr="00C30122">
        <w:t xml:space="preserve">Nothaft, F. E., &amp; Freund, J. L. (2003). The Evolution of Securitization in Multifamily Mortgage Markets and Its Effect on Lending Rates. </w:t>
      </w:r>
      <w:r w:rsidRPr="00C30122">
        <w:rPr>
          <w:i/>
        </w:rPr>
        <w:t>Journal of Real Estate Research,</w:t>
      </w:r>
      <w:r w:rsidR="00DC68D6">
        <w:rPr>
          <w:i/>
        </w:rPr>
        <w:t xml:space="preserve"> </w:t>
      </w:r>
      <w:r w:rsidRPr="00C30122">
        <w:rPr>
          <w:i/>
        </w:rPr>
        <w:t>25</w:t>
      </w:r>
      <w:r w:rsidRPr="00C30122">
        <w:t>(2), 91.</w:t>
      </w:r>
    </w:p>
    <w:p w14:paraId="32372E1C" w14:textId="77777777" w:rsidR="0065555D" w:rsidRPr="00C30122" w:rsidRDefault="0065555D" w:rsidP="0065555D">
      <w:pPr>
        <w:pStyle w:val="EndNoteBibliography"/>
        <w:spacing w:before="240"/>
        <w:ind w:left="720" w:hanging="720"/>
        <w:contextualSpacing w:val="0"/>
      </w:pPr>
      <w:r w:rsidRPr="00C30122">
        <w:t xml:space="preserve">Pashigian, B. P., &amp; Gould, Eric D. (1998). Internalizing Externalities: The Pricing of Space in Shopping Malls. </w:t>
      </w:r>
      <w:r w:rsidRPr="00C30122">
        <w:rPr>
          <w:i/>
        </w:rPr>
        <w:t>Journal of Law and Economics,</w:t>
      </w:r>
      <w:r w:rsidR="00DC68D6">
        <w:rPr>
          <w:i/>
        </w:rPr>
        <w:t xml:space="preserve"> </w:t>
      </w:r>
      <w:r w:rsidRPr="00C30122">
        <w:rPr>
          <w:i/>
        </w:rPr>
        <w:t>41</w:t>
      </w:r>
      <w:r w:rsidRPr="00C30122">
        <w:t>(1), 115-142.</w:t>
      </w:r>
    </w:p>
    <w:p w14:paraId="09F0AA56" w14:textId="77777777" w:rsidR="0065555D" w:rsidRPr="00C30122" w:rsidRDefault="0065555D" w:rsidP="0065555D">
      <w:pPr>
        <w:pStyle w:val="EndNoteBibliography"/>
        <w:spacing w:before="240"/>
        <w:ind w:left="720" w:hanging="720"/>
        <w:contextualSpacing w:val="0"/>
      </w:pPr>
      <w:r w:rsidRPr="00C30122">
        <w:t xml:space="preserve">Petersen, M. A. (2009). Estimating Standard Errors in Finance Panel Data Sets: Comparing Approaches. </w:t>
      </w:r>
      <w:r w:rsidRPr="00C30122">
        <w:rPr>
          <w:i/>
        </w:rPr>
        <w:t>Review of Financial Studies,</w:t>
      </w:r>
      <w:r w:rsidR="00DC68D6">
        <w:rPr>
          <w:i/>
        </w:rPr>
        <w:t xml:space="preserve"> </w:t>
      </w:r>
      <w:r w:rsidRPr="00C30122">
        <w:rPr>
          <w:i/>
        </w:rPr>
        <w:t>22</w:t>
      </w:r>
      <w:r w:rsidRPr="00C30122">
        <w:t>(1), 435-480.</w:t>
      </w:r>
    </w:p>
    <w:p w14:paraId="70C367A0" w14:textId="77777777" w:rsidR="0065555D" w:rsidRPr="00C30122" w:rsidRDefault="0065555D" w:rsidP="0065555D">
      <w:pPr>
        <w:pStyle w:val="EndNoteBibliography"/>
        <w:spacing w:before="240"/>
        <w:ind w:left="720" w:hanging="720"/>
        <w:contextualSpacing w:val="0"/>
      </w:pPr>
      <w:r w:rsidRPr="00C30122">
        <w:t xml:space="preserve">Tabak, B. M., Fazio, D. M., &amp; Cajueiro, D. O. (2011). The effects of loan portfolio concentration on Brazilian banks’ return and risk. </w:t>
      </w:r>
      <w:r w:rsidRPr="00C30122">
        <w:rPr>
          <w:i/>
        </w:rPr>
        <w:t>Journal of Banking &amp; Finance,</w:t>
      </w:r>
      <w:r w:rsidR="00DC68D6">
        <w:rPr>
          <w:i/>
        </w:rPr>
        <w:t xml:space="preserve"> </w:t>
      </w:r>
      <w:r w:rsidRPr="00C30122">
        <w:rPr>
          <w:i/>
        </w:rPr>
        <w:t>35</w:t>
      </w:r>
      <w:r w:rsidRPr="00C30122">
        <w:t>(11), 3065-3076.</w:t>
      </w:r>
    </w:p>
    <w:p w14:paraId="136B62C8" w14:textId="77777777" w:rsidR="0065555D" w:rsidRPr="00C30122" w:rsidRDefault="0065555D" w:rsidP="0065555D">
      <w:pPr>
        <w:pStyle w:val="EndNoteBibliography"/>
        <w:spacing w:before="240"/>
        <w:ind w:left="720" w:hanging="720"/>
        <w:contextualSpacing w:val="0"/>
      </w:pPr>
      <w:r w:rsidRPr="00C30122">
        <w:t xml:space="preserve">Thompson, S. B. (2011). Simple formulas for standard errors that cluster by both firm and time. </w:t>
      </w:r>
      <w:r w:rsidRPr="00C30122">
        <w:rPr>
          <w:i/>
        </w:rPr>
        <w:t>Journal of Financial Economics,</w:t>
      </w:r>
      <w:r w:rsidR="00DC68D6">
        <w:rPr>
          <w:i/>
        </w:rPr>
        <w:t xml:space="preserve"> </w:t>
      </w:r>
      <w:r w:rsidRPr="00C30122">
        <w:rPr>
          <w:i/>
        </w:rPr>
        <w:t>99</w:t>
      </w:r>
      <w:r w:rsidRPr="00C30122">
        <w:t>(1), 1-10.</w:t>
      </w:r>
    </w:p>
    <w:p w14:paraId="19B95DAA" w14:textId="77777777" w:rsidR="0065555D" w:rsidRPr="00C30122" w:rsidRDefault="0065555D" w:rsidP="0065555D">
      <w:pPr>
        <w:pStyle w:val="EndNoteBibliography"/>
        <w:spacing w:before="240"/>
        <w:ind w:left="720" w:hanging="720"/>
        <w:contextualSpacing w:val="0"/>
      </w:pPr>
      <w:r w:rsidRPr="00C30122">
        <w:t xml:space="preserve">Titman, S., Tompaidis, S., &amp; Tsyplakov, S. (2005). Determinants of Credit Spreads in Commercial Mortgages. </w:t>
      </w:r>
      <w:r w:rsidRPr="00C30122">
        <w:rPr>
          <w:i/>
        </w:rPr>
        <w:t>Real Estate Economics,</w:t>
      </w:r>
      <w:r w:rsidR="00DC68D6">
        <w:rPr>
          <w:i/>
        </w:rPr>
        <w:t xml:space="preserve"> </w:t>
      </w:r>
      <w:r w:rsidRPr="00C30122">
        <w:rPr>
          <w:i/>
        </w:rPr>
        <w:t>33</w:t>
      </w:r>
      <w:r w:rsidRPr="00C30122">
        <w:t>(4), 711-738.</w:t>
      </w:r>
    </w:p>
    <w:p w14:paraId="774AEF69" w14:textId="77777777" w:rsidR="0065555D" w:rsidRPr="00C30122" w:rsidRDefault="0065555D" w:rsidP="0065555D">
      <w:pPr>
        <w:pStyle w:val="EndNoteBibliography"/>
        <w:spacing w:before="240"/>
        <w:ind w:left="720" w:hanging="720"/>
        <w:contextualSpacing w:val="0"/>
      </w:pPr>
      <w:r w:rsidRPr="00C30122">
        <w:t xml:space="preserve">Titman, S., &amp; Tsyplakov, S. (2010). Originator Performance, CMBS Structures, and the Risk of Commercial Mortgages. </w:t>
      </w:r>
      <w:r w:rsidRPr="00C30122">
        <w:rPr>
          <w:i/>
        </w:rPr>
        <w:t>Review of Financial Studies</w:t>
      </w:r>
      <w:r w:rsidR="00DC68D6">
        <w:rPr>
          <w:i/>
        </w:rPr>
        <w:t xml:space="preserve"> 23</w:t>
      </w:r>
      <w:r w:rsidR="00DC68D6">
        <w:t xml:space="preserve">(9), </w:t>
      </w:r>
      <w:r w:rsidR="00DC68D6" w:rsidRPr="00DC68D6">
        <w:t>3558-3594</w:t>
      </w:r>
      <w:r w:rsidRPr="00C30122">
        <w:t>.</w:t>
      </w:r>
    </w:p>
    <w:p w14:paraId="10CF993E" w14:textId="77777777" w:rsidR="0065555D" w:rsidRPr="00C30122" w:rsidRDefault="0065555D" w:rsidP="0065555D">
      <w:pPr>
        <w:pStyle w:val="EndNoteBibliography"/>
        <w:spacing w:before="240"/>
        <w:ind w:left="720" w:hanging="720"/>
        <w:contextualSpacing w:val="0"/>
      </w:pPr>
      <w:r w:rsidRPr="00C30122">
        <w:t xml:space="preserve">Wheaton, W. C. (2000). Percentage Rent in Retail Leasing: The Alignment of Landlord-Tenant Interests. </w:t>
      </w:r>
      <w:r w:rsidRPr="00C30122">
        <w:rPr>
          <w:i/>
        </w:rPr>
        <w:t>Real Estate Economics,</w:t>
      </w:r>
      <w:r w:rsidR="00DC68D6">
        <w:rPr>
          <w:i/>
        </w:rPr>
        <w:t xml:space="preserve"> </w:t>
      </w:r>
      <w:r w:rsidRPr="00C30122">
        <w:rPr>
          <w:i/>
        </w:rPr>
        <w:t>28</w:t>
      </w:r>
      <w:r w:rsidRPr="00C30122">
        <w:t>(2), 185-204.</w:t>
      </w:r>
    </w:p>
    <w:p w14:paraId="07368A03" w14:textId="77777777" w:rsidR="0065555D" w:rsidRPr="00C30122" w:rsidRDefault="0065555D" w:rsidP="0065555D">
      <w:pPr>
        <w:pStyle w:val="EndNoteBibliography"/>
        <w:spacing w:before="240"/>
        <w:ind w:left="720" w:hanging="720"/>
        <w:contextualSpacing w:val="0"/>
      </w:pPr>
      <w:r w:rsidRPr="00C30122">
        <w:t xml:space="preserve">Yildirim, Y. (2008). Estimating Default Probabilities of CMBS Loans with Clustering and Heavy Censoring. </w:t>
      </w:r>
      <w:r w:rsidRPr="00C30122">
        <w:rPr>
          <w:i/>
        </w:rPr>
        <w:t>Journal of Real Estate Finance &amp; Economics,</w:t>
      </w:r>
      <w:r w:rsidR="00DC68D6">
        <w:rPr>
          <w:i/>
        </w:rPr>
        <w:t xml:space="preserve"> </w:t>
      </w:r>
      <w:r w:rsidRPr="00C30122">
        <w:rPr>
          <w:i/>
        </w:rPr>
        <w:t>37</w:t>
      </w:r>
      <w:r w:rsidRPr="00C30122">
        <w:t>(2), 93-111.</w:t>
      </w:r>
    </w:p>
    <w:p w14:paraId="52594831" w14:textId="77777777" w:rsidR="0065555D" w:rsidRDefault="0065555D" w:rsidP="00FB3903">
      <w:pPr>
        <w:spacing w:line="240" w:lineRule="auto"/>
        <w:ind w:left="180" w:hanging="180"/>
        <w:contextualSpacing w:val="0"/>
      </w:pPr>
    </w:p>
    <w:p w14:paraId="463354FF" w14:textId="77777777" w:rsidR="0065555D" w:rsidRDefault="0065555D" w:rsidP="00FB3903">
      <w:pPr>
        <w:spacing w:line="240" w:lineRule="auto"/>
        <w:sectPr w:rsidR="0065555D">
          <w:pgSz w:w="12240" w:h="15840"/>
          <w:pgMar w:top="1440" w:right="1440" w:bottom="1440" w:left="1440" w:header="720" w:footer="720" w:gutter="0"/>
          <w:cols w:space="720"/>
          <w:docGrid w:linePitch="360"/>
        </w:sectPr>
      </w:pPr>
    </w:p>
    <w:p w14:paraId="3A508245" w14:textId="77777777" w:rsidR="0065555D" w:rsidRPr="008C73FB" w:rsidRDefault="0065555D" w:rsidP="00FB3903">
      <w:pPr>
        <w:spacing w:after="0" w:line="240" w:lineRule="auto"/>
        <w:rPr>
          <w:rFonts w:eastAsia="Times New Roman" w:cs="Times New Roman"/>
          <w:bCs/>
          <w:szCs w:val="18"/>
        </w:rPr>
      </w:pPr>
      <w:bookmarkStart w:id="2" w:name="_Ref413073881"/>
      <w:r w:rsidRPr="008C73FB">
        <w:rPr>
          <w:rFonts w:eastAsia="Times New Roman" w:cs="Times New Roman"/>
          <w:bCs/>
          <w:szCs w:val="18"/>
        </w:rPr>
        <w:t xml:space="preserve">Table </w:t>
      </w:r>
      <w:r>
        <w:rPr>
          <w:rFonts w:eastAsia="Times New Roman" w:cs="Times New Roman"/>
          <w:bCs/>
          <w:noProof/>
          <w:szCs w:val="18"/>
        </w:rPr>
        <w:t>1</w:t>
      </w:r>
      <w:bookmarkEnd w:id="2"/>
      <w:r w:rsidRPr="008C73FB">
        <w:rPr>
          <w:rFonts w:eastAsia="Times New Roman" w:cs="Times New Roman"/>
          <w:bCs/>
          <w:szCs w:val="18"/>
        </w:rPr>
        <w:t xml:space="preserve">: Summary Statistics by </w:t>
      </w:r>
      <w:r>
        <w:rPr>
          <w:rFonts w:eastAsia="Times New Roman" w:cs="Times New Roman"/>
          <w:bCs/>
          <w:szCs w:val="18"/>
        </w:rPr>
        <w:t>Category of Percent</w:t>
      </w:r>
      <w:r w:rsidRPr="008C73FB">
        <w:rPr>
          <w:rFonts w:eastAsia="Times New Roman" w:cs="Times New Roman"/>
          <w:bCs/>
          <w:szCs w:val="18"/>
        </w:rPr>
        <w:t xml:space="preserve"> Sq</w:t>
      </w:r>
      <w:r>
        <w:rPr>
          <w:rFonts w:eastAsia="Times New Roman" w:cs="Times New Roman"/>
          <w:bCs/>
          <w:szCs w:val="18"/>
        </w:rPr>
        <w:t>uare</w:t>
      </w:r>
      <w:r w:rsidRPr="008C73FB">
        <w:rPr>
          <w:rFonts w:eastAsia="Times New Roman" w:cs="Times New Roman"/>
          <w:bCs/>
          <w:szCs w:val="18"/>
        </w:rPr>
        <w:t xml:space="preserve"> Footage</w:t>
      </w:r>
      <w:r>
        <w:rPr>
          <w:rFonts w:eastAsia="Times New Roman" w:cs="Times New Roman"/>
          <w:bCs/>
          <w:szCs w:val="18"/>
        </w:rPr>
        <w:t xml:space="preserve"> Occupied by the Property’s Largest Lessee (L1%)</w:t>
      </w:r>
    </w:p>
    <w:p w14:paraId="3DA25D6B" w14:textId="77777777" w:rsidR="0065555D" w:rsidRPr="008C73FB" w:rsidRDefault="0065555D" w:rsidP="00FB3903">
      <w:pPr>
        <w:spacing w:line="240" w:lineRule="auto"/>
        <w:rPr>
          <w:rFonts w:eastAsia="Times New Roman" w:cs="Times New Roman"/>
        </w:rPr>
      </w:pPr>
      <w:r w:rsidRPr="008C73FB">
        <w:rPr>
          <w:rFonts w:eastAsia="Times New Roman" w:cs="Times New Roman"/>
        </w:rPr>
        <w:t>Average values for mortgage, property, and tenant characteristics</w:t>
      </w:r>
      <w:r>
        <w:rPr>
          <w:rFonts w:eastAsia="Times New Roman" w:cs="Times New Roman"/>
        </w:rPr>
        <w:t xml:space="preserve"> are shown for categories of the percent of square footage occupied by the property’s largest tenant (L1%)</w:t>
      </w:r>
      <w:r w:rsidRPr="008C73FB">
        <w:rPr>
          <w:rFonts w:eastAsia="Times New Roman" w:cs="Times New Roman"/>
        </w:rPr>
        <w:t xml:space="preserve">. </w:t>
      </w:r>
    </w:p>
    <w:p w14:paraId="18E6AF3C" w14:textId="77777777" w:rsidR="0065555D" w:rsidRPr="008C73FB" w:rsidRDefault="0065555D" w:rsidP="00FB3903">
      <w:pPr>
        <w:spacing w:line="240" w:lineRule="auto"/>
        <w:rPr>
          <w:rFonts w:eastAsia="Times New Roman" w:cs="Times New Roman"/>
        </w:rPr>
      </w:pPr>
    </w:p>
    <w:tbl>
      <w:tblPr>
        <w:tblW w:w="0" w:type="auto"/>
        <w:jc w:val="center"/>
        <w:tblCellMar>
          <w:top w:w="72" w:type="dxa"/>
          <w:left w:w="72" w:type="dxa"/>
          <w:right w:w="72" w:type="dxa"/>
        </w:tblCellMar>
        <w:tblLook w:val="04A0" w:firstRow="1" w:lastRow="0" w:firstColumn="1" w:lastColumn="0" w:noHBand="0" w:noVBand="1"/>
      </w:tblPr>
      <w:tblGrid>
        <w:gridCol w:w="878"/>
        <w:gridCol w:w="1456"/>
        <w:gridCol w:w="694"/>
        <w:gridCol w:w="744"/>
        <w:gridCol w:w="700"/>
        <w:gridCol w:w="694"/>
        <w:gridCol w:w="844"/>
        <w:gridCol w:w="1072"/>
        <w:gridCol w:w="1072"/>
        <w:gridCol w:w="533"/>
        <w:gridCol w:w="833"/>
        <w:gridCol w:w="717"/>
        <w:gridCol w:w="594"/>
        <w:gridCol w:w="833"/>
        <w:gridCol w:w="844"/>
      </w:tblGrid>
      <w:tr w:rsidR="0065555D" w:rsidRPr="00871CAF" w14:paraId="25D396C3" w14:textId="77777777" w:rsidTr="007049D5">
        <w:trPr>
          <w:trHeight w:val="792"/>
          <w:jc w:val="center"/>
        </w:trPr>
        <w:tc>
          <w:tcPr>
            <w:tcW w:w="0" w:type="auto"/>
            <w:tcBorders>
              <w:top w:val="single" w:sz="4" w:space="0" w:color="auto"/>
              <w:left w:val="nil"/>
              <w:bottom w:val="single" w:sz="4" w:space="0" w:color="auto"/>
              <w:right w:val="nil"/>
            </w:tcBorders>
            <w:vAlign w:val="bottom"/>
          </w:tcPr>
          <w:p w14:paraId="64DD50B5" w14:textId="77777777" w:rsidR="0065555D" w:rsidRPr="00871CAF"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L1</w:t>
            </w:r>
          </w:p>
          <w:p w14:paraId="196E2DA3" w14:textId="77777777" w:rsidR="0065555D" w:rsidRPr="00871CAF"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Category</w:t>
            </w:r>
          </w:p>
        </w:tc>
        <w:tc>
          <w:tcPr>
            <w:tcW w:w="0" w:type="auto"/>
            <w:tcBorders>
              <w:top w:val="single" w:sz="4" w:space="0" w:color="auto"/>
              <w:left w:val="nil"/>
              <w:bottom w:val="single" w:sz="4" w:space="0" w:color="auto"/>
              <w:right w:val="nil"/>
            </w:tcBorders>
            <w:shd w:val="clear" w:color="auto" w:fill="auto"/>
            <w:vAlign w:val="bottom"/>
            <w:hideMark/>
          </w:tcPr>
          <w:p w14:paraId="32D97FB0" w14:textId="77777777" w:rsidR="0065555D" w:rsidRPr="00871CAF"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Range of L1%</w:t>
            </w:r>
          </w:p>
        </w:tc>
        <w:tc>
          <w:tcPr>
            <w:tcW w:w="0" w:type="auto"/>
            <w:tcBorders>
              <w:top w:val="single" w:sz="4" w:space="0" w:color="auto"/>
              <w:left w:val="nil"/>
              <w:bottom w:val="single" w:sz="4" w:space="0" w:color="auto"/>
              <w:right w:val="nil"/>
            </w:tcBorders>
            <w:shd w:val="clear" w:color="auto" w:fill="auto"/>
            <w:noWrap/>
            <w:vAlign w:val="bottom"/>
            <w:hideMark/>
          </w:tcPr>
          <w:p w14:paraId="5D0442A0" w14:textId="77777777" w:rsidR="0065555D" w:rsidRPr="00871CAF"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N</w:t>
            </w:r>
          </w:p>
        </w:tc>
        <w:tc>
          <w:tcPr>
            <w:tcW w:w="0" w:type="auto"/>
            <w:tcBorders>
              <w:top w:val="single" w:sz="4" w:space="0" w:color="auto"/>
              <w:left w:val="nil"/>
              <w:bottom w:val="single" w:sz="4" w:space="0" w:color="auto"/>
              <w:right w:val="nil"/>
            </w:tcBorders>
            <w:shd w:val="clear" w:color="auto" w:fill="auto"/>
            <w:noWrap/>
            <w:vAlign w:val="bottom"/>
            <w:hideMark/>
          </w:tcPr>
          <w:p w14:paraId="077CDD1A" w14:textId="77777777" w:rsidR="0065555D" w:rsidRPr="00871CAF"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w:t>
            </w:r>
          </w:p>
          <w:p w14:paraId="5C3AF447" w14:textId="77777777" w:rsidR="0065555D" w:rsidRPr="00871CAF"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Sample</w:t>
            </w:r>
          </w:p>
        </w:tc>
        <w:tc>
          <w:tcPr>
            <w:tcW w:w="0" w:type="auto"/>
            <w:tcBorders>
              <w:top w:val="single" w:sz="4" w:space="0" w:color="auto"/>
              <w:left w:val="nil"/>
              <w:bottom w:val="single" w:sz="4" w:space="0" w:color="auto"/>
              <w:right w:val="nil"/>
            </w:tcBorders>
            <w:shd w:val="clear" w:color="auto" w:fill="auto"/>
            <w:noWrap/>
            <w:vAlign w:val="bottom"/>
            <w:hideMark/>
          </w:tcPr>
          <w:p w14:paraId="5CBA2CB8" w14:textId="77777777" w:rsidR="0065555D" w:rsidRPr="00871CAF"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Spread</w:t>
            </w:r>
          </w:p>
          <w:p w14:paraId="6D528261" w14:textId="77777777" w:rsidR="0065555D" w:rsidRPr="00871CAF"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w:t>
            </w:r>
          </w:p>
        </w:tc>
        <w:tc>
          <w:tcPr>
            <w:tcW w:w="0" w:type="auto"/>
            <w:tcBorders>
              <w:top w:val="single" w:sz="4" w:space="0" w:color="auto"/>
              <w:left w:val="nil"/>
              <w:bottom w:val="single" w:sz="4" w:space="0" w:color="auto"/>
              <w:right w:val="nil"/>
            </w:tcBorders>
            <w:vAlign w:val="bottom"/>
          </w:tcPr>
          <w:p w14:paraId="1160C6E4" w14:textId="77777777" w:rsidR="0065555D" w:rsidRPr="00871CAF"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L1%</w:t>
            </w:r>
          </w:p>
        </w:tc>
        <w:tc>
          <w:tcPr>
            <w:tcW w:w="0" w:type="auto"/>
            <w:tcBorders>
              <w:top w:val="single" w:sz="4" w:space="0" w:color="auto"/>
              <w:left w:val="nil"/>
              <w:bottom w:val="single" w:sz="4" w:space="0" w:color="auto"/>
              <w:right w:val="nil"/>
            </w:tcBorders>
            <w:vAlign w:val="bottom"/>
          </w:tcPr>
          <w:p w14:paraId="48BAD1D9" w14:textId="77777777" w:rsidR="0065555D" w:rsidRPr="00871CAF"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Fraction</w:t>
            </w:r>
          </w:p>
          <w:p w14:paraId="42115470" w14:textId="77777777" w:rsidR="0065555D" w:rsidRPr="00871CAF"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L1</w:t>
            </w:r>
          </w:p>
          <w:p w14:paraId="2DE12807" w14:textId="77777777" w:rsidR="0065555D" w:rsidRPr="00871CAF"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Rollover</w:t>
            </w:r>
          </w:p>
        </w:tc>
        <w:tc>
          <w:tcPr>
            <w:tcW w:w="0" w:type="auto"/>
            <w:tcBorders>
              <w:top w:val="single" w:sz="4" w:space="0" w:color="auto"/>
              <w:left w:val="nil"/>
              <w:bottom w:val="single" w:sz="4" w:space="0" w:color="auto"/>
              <w:right w:val="nil"/>
            </w:tcBorders>
            <w:shd w:val="clear" w:color="auto" w:fill="auto"/>
            <w:noWrap/>
            <w:vAlign w:val="bottom"/>
            <w:hideMark/>
          </w:tcPr>
          <w:p w14:paraId="31C95821" w14:textId="77777777" w:rsidR="0065555D" w:rsidRDefault="0065555D" w:rsidP="00FB3903">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Nominal</w:t>
            </w:r>
          </w:p>
          <w:p w14:paraId="1446BDB0" w14:textId="77777777" w:rsidR="0065555D" w:rsidRPr="00871CAF"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Property</w:t>
            </w:r>
          </w:p>
          <w:p w14:paraId="78E7B84A" w14:textId="77777777" w:rsidR="0065555D" w:rsidRPr="00871CAF"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Value (mil)</w:t>
            </w:r>
          </w:p>
        </w:tc>
        <w:tc>
          <w:tcPr>
            <w:tcW w:w="0" w:type="auto"/>
            <w:tcBorders>
              <w:top w:val="single" w:sz="4" w:space="0" w:color="auto"/>
              <w:left w:val="nil"/>
              <w:bottom w:val="single" w:sz="4" w:space="0" w:color="auto"/>
              <w:right w:val="nil"/>
            </w:tcBorders>
            <w:vAlign w:val="bottom"/>
          </w:tcPr>
          <w:p w14:paraId="6C95E74A" w14:textId="77777777" w:rsidR="0065555D" w:rsidRPr="00871CAF"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Real</w:t>
            </w:r>
          </w:p>
          <w:p w14:paraId="4DD6FE30" w14:textId="77777777" w:rsidR="0065555D" w:rsidRPr="00871CAF"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Property</w:t>
            </w:r>
          </w:p>
          <w:p w14:paraId="4BE25E77" w14:textId="77777777" w:rsidR="0065555D" w:rsidRPr="00871CAF"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Value (mil)</w:t>
            </w:r>
          </w:p>
        </w:tc>
        <w:tc>
          <w:tcPr>
            <w:tcW w:w="0" w:type="auto"/>
            <w:tcBorders>
              <w:top w:val="single" w:sz="4" w:space="0" w:color="auto"/>
              <w:left w:val="nil"/>
              <w:bottom w:val="single" w:sz="4" w:space="0" w:color="auto"/>
              <w:right w:val="nil"/>
            </w:tcBorders>
            <w:shd w:val="clear" w:color="auto" w:fill="auto"/>
            <w:noWrap/>
            <w:vAlign w:val="bottom"/>
            <w:hideMark/>
          </w:tcPr>
          <w:p w14:paraId="464ECBB4" w14:textId="77777777" w:rsidR="0065555D" w:rsidRPr="00871CAF"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LTV</w:t>
            </w:r>
          </w:p>
        </w:tc>
        <w:tc>
          <w:tcPr>
            <w:tcW w:w="0" w:type="auto"/>
            <w:tcBorders>
              <w:top w:val="single" w:sz="4" w:space="0" w:color="auto"/>
              <w:left w:val="nil"/>
              <w:bottom w:val="single" w:sz="4" w:space="0" w:color="auto"/>
              <w:right w:val="nil"/>
            </w:tcBorders>
            <w:shd w:val="clear" w:color="auto" w:fill="auto"/>
            <w:noWrap/>
            <w:vAlign w:val="bottom"/>
            <w:hideMark/>
          </w:tcPr>
          <w:p w14:paraId="57E99560" w14:textId="77777777" w:rsidR="0065555D" w:rsidRPr="00871CAF"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NOI/</w:t>
            </w:r>
          </w:p>
          <w:p w14:paraId="37146DAD" w14:textId="77777777" w:rsidR="0065555D" w:rsidRPr="00871CAF"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Property</w:t>
            </w:r>
          </w:p>
          <w:p w14:paraId="25C04B9C" w14:textId="77777777" w:rsidR="0065555D" w:rsidRPr="00871CAF"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Value</w:t>
            </w:r>
          </w:p>
        </w:tc>
        <w:tc>
          <w:tcPr>
            <w:tcW w:w="0" w:type="auto"/>
            <w:tcBorders>
              <w:top w:val="single" w:sz="4" w:space="0" w:color="auto"/>
              <w:left w:val="nil"/>
              <w:bottom w:val="single" w:sz="4" w:space="0" w:color="auto"/>
              <w:right w:val="nil"/>
            </w:tcBorders>
            <w:shd w:val="clear" w:color="auto" w:fill="auto"/>
            <w:noWrap/>
            <w:vAlign w:val="bottom"/>
            <w:hideMark/>
          </w:tcPr>
          <w:p w14:paraId="5D215744" w14:textId="77777777" w:rsidR="0065555D" w:rsidRPr="00871CAF" w:rsidRDefault="0065555D" w:rsidP="00FB3903">
            <w:pPr>
              <w:spacing w:after="0" w:line="240" w:lineRule="auto"/>
              <w:jc w:val="center"/>
              <w:rPr>
                <w:rFonts w:eastAsia="Times New Roman" w:cs="Times New Roman"/>
                <w:color w:val="000000"/>
                <w:sz w:val="20"/>
                <w:szCs w:val="20"/>
              </w:rPr>
            </w:pPr>
            <w:proofErr w:type="spellStart"/>
            <w:r w:rsidRPr="00871CAF">
              <w:rPr>
                <w:rFonts w:eastAsia="Times New Roman" w:cs="Times New Roman"/>
                <w:color w:val="000000"/>
                <w:sz w:val="20"/>
                <w:szCs w:val="20"/>
              </w:rPr>
              <w:t>Amort</w:t>
            </w:r>
            <w:proofErr w:type="spellEnd"/>
            <w:r w:rsidRPr="00871CAF">
              <w:rPr>
                <w:rFonts w:eastAsia="Times New Roman" w:cs="Times New Roman"/>
                <w:color w:val="000000"/>
                <w:sz w:val="20"/>
                <w:szCs w:val="20"/>
              </w:rPr>
              <w:t>.</w:t>
            </w:r>
          </w:p>
          <w:p w14:paraId="631DC35D" w14:textId="77777777" w:rsidR="0065555D" w:rsidRPr="00871CAF"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Rate</w:t>
            </w:r>
          </w:p>
        </w:tc>
        <w:tc>
          <w:tcPr>
            <w:tcW w:w="0" w:type="auto"/>
            <w:tcBorders>
              <w:top w:val="single" w:sz="4" w:space="0" w:color="auto"/>
              <w:left w:val="nil"/>
              <w:bottom w:val="single" w:sz="4" w:space="0" w:color="auto"/>
              <w:right w:val="nil"/>
            </w:tcBorders>
            <w:shd w:val="clear" w:color="auto" w:fill="auto"/>
            <w:noWrap/>
            <w:vAlign w:val="bottom"/>
            <w:hideMark/>
          </w:tcPr>
          <w:p w14:paraId="07DCA3B3" w14:textId="77777777" w:rsidR="0065555D" w:rsidRPr="00871CAF"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Occ.</w:t>
            </w:r>
          </w:p>
          <w:p w14:paraId="3680C67F" w14:textId="77777777" w:rsidR="0065555D"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Rate</w:t>
            </w:r>
          </w:p>
          <w:p w14:paraId="054BC005" w14:textId="77777777" w:rsidR="0065555D" w:rsidRPr="00871CAF"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w:t>
            </w:r>
          </w:p>
        </w:tc>
        <w:tc>
          <w:tcPr>
            <w:tcW w:w="0" w:type="auto"/>
            <w:tcBorders>
              <w:top w:val="single" w:sz="4" w:space="0" w:color="auto"/>
              <w:left w:val="nil"/>
              <w:bottom w:val="single" w:sz="4" w:space="0" w:color="auto"/>
              <w:right w:val="nil"/>
            </w:tcBorders>
            <w:shd w:val="clear" w:color="auto" w:fill="auto"/>
            <w:noWrap/>
            <w:vAlign w:val="bottom"/>
            <w:hideMark/>
          </w:tcPr>
          <w:p w14:paraId="4612370A" w14:textId="77777777" w:rsidR="0065555D" w:rsidRPr="00871CAF"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Property</w:t>
            </w:r>
          </w:p>
          <w:p w14:paraId="43D64F74" w14:textId="77777777" w:rsidR="0065555D" w:rsidRPr="00871CAF"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Age</w:t>
            </w:r>
          </w:p>
        </w:tc>
        <w:tc>
          <w:tcPr>
            <w:tcW w:w="0" w:type="auto"/>
            <w:tcBorders>
              <w:top w:val="single" w:sz="4" w:space="0" w:color="auto"/>
              <w:left w:val="nil"/>
              <w:bottom w:val="single" w:sz="4" w:space="0" w:color="auto"/>
              <w:right w:val="nil"/>
            </w:tcBorders>
            <w:shd w:val="clear" w:color="auto" w:fill="auto"/>
            <w:noWrap/>
            <w:vAlign w:val="bottom"/>
            <w:hideMark/>
          </w:tcPr>
          <w:p w14:paraId="0FB2E04C" w14:textId="77777777" w:rsidR="0065555D" w:rsidRPr="00871CAF"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Years to</w:t>
            </w:r>
          </w:p>
          <w:p w14:paraId="5C537E34" w14:textId="77777777" w:rsidR="0065555D" w:rsidRPr="00871CAF"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Loan</w:t>
            </w:r>
          </w:p>
          <w:p w14:paraId="0A1D6C62" w14:textId="77777777" w:rsidR="0065555D" w:rsidRPr="00871CAF"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Maturity</w:t>
            </w:r>
          </w:p>
        </w:tc>
      </w:tr>
      <w:tr w:rsidR="0065555D" w:rsidRPr="00871CAF" w14:paraId="28C992FD" w14:textId="77777777" w:rsidTr="007049D5">
        <w:trPr>
          <w:trHeight w:val="264"/>
          <w:jc w:val="center"/>
        </w:trPr>
        <w:tc>
          <w:tcPr>
            <w:tcW w:w="0" w:type="auto"/>
            <w:tcBorders>
              <w:top w:val="nil"/>
              <w:left w:val="nil"/>
              <w:bottom w:val="nil"/>
              <w:right w:val="nil"/>
            </w:tcBorders>
            <w:vAlign w:val="center"/>
          </w:tcPr>
          <w:p w14:paraId="414B824B" w14:textId="77777777" w:rsidR="0065555D" w:rsidRPr="00871CAF"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1</w:t>
            </w:r>
          </w:p>
        </w:tc>
        <w:tc>
          <w:tcPr>
            <w:tcW w:w="0" w:type="auto"/>
            <w:tcBorders>
              <w:top w:val="nil"/>
              <w:left w:val="nil"/>
              <w:bottom w:val="nil"/>
              <w:right w:val="nil"/>
            </w:tcBorders>
            <w:shd w:val="clear" w:color="auto" w:fill="auto"/>
            <w:noWrap/>
            <w:vAlign w:val="center"/>
            <w:hideMark/>
          </w:tcPr>
          <w:p w14:paraId="08D24DB8" w14:textId="77777777" w:rsidR="0065555D" w:rsidRPr="00871CAF"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0 ≤ L1% &lt; 20</w:t>
            </w:r>
          </w:p>
        </w:tc>
        <w:tc>
          <w:tcPr>
            <w:tcW w:w="0" w:type="auto"/>
            <w:tcBorders>
              <w:top w:val="nil"/>
              <w:left w:val="nil"/>
              <w:bottom w:val="nil"/>
              <w:right w:val="nil"/>
            </w:tcBorders>
            <w:shd w:val="clear" w:color="auto" w:fill="auto"/>
            <w:noWrap/>
            <w:vAlign w:val="center"/>
          </w:tcPr>
          <w:p w14:paraId="06FC307D" w14:textId="77777777" w:rsidR="0065555D" w:rsidRPr="00871CAF" w:rsidRDefault="0065555D" w:rsidP="00FB3903">
            <w:pPr>
              <w:spacing w:line="240" w:lineRule="auto"/>
              <w:jc w:val="center"/>
              <w:rPr>
                <w:rFonts w:eastAsia="MS Mincho" w:cs="Times New Roman"/>
                <w:sz w:val="20"/>
                <w:szCs w:val="20"/>
              </w:rPr>
            </w:pPr>
            <w:r w:rsidRPr="00871CAF">
              <w:rPr>
                <w:rFonts w:eastAsia="MS Mincho" w:cs="Times New Roman"/>
                <w:sz w:val="20"/>
                <w:szCs w:val="20"/>
              </w:rPr>
              <w:t>3,878</w:t>
            </w:r>
          </w:p>
        </w:tc>
        <w:tc>
          <w:tcPr>
            <w:tcW w:w="0" w:type="auto"/>
            <w:tcBorders>
              <w:top w:val="nil"/>
              <w:left w:val="nil"/>
              <w:bottom w:val="nil"/>
              <w:right w:val="nil"/>
            </w:tcBorders>
            <w:shd w:val="clear" w:color="auto" w:fill="auto"/>
            <w:noWrap/>
            <w:vAlign w:val="center"/>
          </w:tcPr>
          <w:p w14:paraId="13DCD812" w14:textId="77777777" w:rsidR="0065555D" w:rsidRPr="00871CAF" w:rsidRDefault="0065555D" w:rsidP="00FB3903">
            <w:pPr>
              <w:spacing w:line="240" w:lineRule="auto"/>
              <w:jc w:val="center"/>
              <w:rPr>
                <w:rFonts w:eastAsia="MS Mincho" w:cs="Times New Roman"/>
                <w:sz w:val="20"/>
                <w:szCs w:val="20"/>
              </w:rPr>
            </w:pPr>
            <w:r w:rsidRPr="00871CAF">
              <w:rPr>
                <w:rFonts w:eastAsia="MS Mincho" w:cs="Times New Roman"/>
                <w:sz w:val="20"/>
                <w:szCs w:val="20"/>
              </w:rPr>
              <w:t>20.61</w:t>
            </w:r>
          </w:p>
        </w:tc>
        <w:tc>
          <w:tcPr>
            <w:tcW w:w="0" w:type="auto"/>
            <w:tcBorders>
              <w:top w:val="nil"/>
              <w:left w:val="nil"/>
              <w:bottom w:val="nil"/>
              <w:right w:val="nil"/>
            </w:tcBorders>
            <w:shd w:val="clear" w:color="auto" w:fill="auto"/>
            <w:noWrap/>
            <w:vAlign w:val="center"/>
          </w:tcPr>
          <w:p w14:paraId="1A59E7E8" w14:textId="77777777" w:rsidR="0065555D" w:rsidRDefault="0065555D" w:rsidP="00FB3903">
            <w:pPr>
              <w:spacing w:line="240" w:lineRule="auto"/>
              <w:jc w:val="center"/>
              <w:rPr>
                <w:sz w:val="20"/>
                <w:szCs w:val="20"/>
              </w:rPr>
            </w:pPr>
            <w:r>
              <w:rPr>
                <w:sz w:val="20"/>
                <w:szCs w:val="20"/>
              </w:rPr>
              <w:t>1.5514</w:t>
            </w:r>
          </w:p>
        </w:tc>
        <w:tc>
          <w:tcPr>
            <w:tcW w:w="0" w:type="auto"/>
            <w:tcBorders>
              <w:top w:val="nil"/>
              <w:left w:val="nil"/>
              <w:bottom w:val="nil"/>
              <w:right w:val="nil"/>
            </w:tcBorders>
            <w:vAlign w:val="center"/>
          </w:tcPr>
          <w:p w14:paraId="0622800F" w14:textId="77777777" w:rsidR="0065555D" w:rsidRDefault="0065555D" w:rsidP="00FB3903">
            <w:pPr>
              <w:spacing w:line="240" w:lineRule="auto"/>
              <w:jc w:val="center"/>
              <w:rPr>
                <w:sz w:val="20"/>
                <w:szCs w:val="20"/>
              </w:rPr>
            </w:pPr>
            <w:r>
              <w:rPr>
                <w:sz w:val="20"/>
                <w:szCs w:val="20"/>
              </w:rPr>
              <w:t>14.46</w:t>
            </w:r>
          </w:p>
        </w:tc>
        <w:tc>
          <w:tcPr>
            <w:tcW w:w="0" w:type="auto"/>
            <w:tcBorders>
              <w:top w:val="nil"/>
              <w:left w:val="nil"/>
              <w:bottom w:val="nil"/>
              <w:right w:val="nil"/>
            </w:tcBorders>
            <w:vAlign w:val="center"/>
          </w:tcPr>
          <w:p w14:paraId="74976B94" w14:textId="77777777" w:rsidR="0065555D" w:rsidRDefault="0065555D" w:rsidP="00FB3903">
            <w:pPr>
              <w:spacing w:line="240" w:lineRule="auto"/>
              <w:jc w:val="center"/>
              <w:rPr>
                <w:sz w:val="20"/>
                <w:szCs w:val="20"/>
              </w:rPr>
            </w:pPr>
            <w:r>
              <w:rPr>
                <w:sz w:val="20"/>
                <w:szCs w:val="20"/>
              </w:rPr>
              <w:t>0.83</w:t>
            </w:r>
          </w:p>
        </w:tc>
        <w:tc>
          <w:tcPr>
            <w:tcW w:w="0" w:type="auto"/>
            <w:tcBorders>
              <w:top w:val="nil"/>
              <w:left w:val="nil"/>
              <w:bottom w:val="nil"/>
              <w:right w:val="nil"/>
            </w:tcBorders>
            <w:shd w:val="clear" w:color="auto" w:fill="auto"/>
            <w:noWrap/>
            <w:vAlign w:val="center"/>
          </w:tcPr>
          <w:p w14:paraId="70070C71" w14:textId="77777777" w:rsidR="0065555D" w:rsidRDefault="0065555D" w:rsidP="00FB3903">
            <w:pPr>
              <w:spacing w:line="240" w:lineRule="auto"/>
              <w:jc w:val="center"/>
              <w:rPr>
                <w:sz w:val="20"/>
                <w:szCs w:val="20"/>
              </w:rPr>
            </w:pPr>
            <w:r>
              <w:rPr>
                <w:sz w:val="20"/>
                <w:szCs w:val="20"/>
              </w:rPr>
              <w:t>28.59</w:t>
            </w:r>
          </w:p>
        </w:tc>
        <w:tc>
          <w:tcPr>
            <w:tcW w:w="0" w:type="auto"/>
            <w:tcBorders>
              <w:top w:val="nil"/>
              <w:left w:val="nil"/>
              <w:bottom w:val="nil"/>
              <w:right w:val="nil"/>
            </w:tcBorders>
            <w:vAlign w:val="center"/>
          </w:tcPr>
          <w:p w14:paraId="597538AB" w14:textId="77777777" w:rsidR="0065555D" w:rsidRDefault="0065555D" w:rsidP="00FB3903">
            <w:pPr>
              <w:spacing w:line="240" w:lineRule="auto"/>
              <w:jc w:val="center"/>
              <w:rPr>
                <w:sz w:val="20"/>
                <w:szCs w:val="20"/>
              </w:rPr>
            </w:pPr>
            <w:r>
              <w:rPr>
                <w:sz w:val="20"/>
                <w:szCs w:val="20"/>
              </w:rPr>
              <w:t>14.62</w:t>
            </w:r>
          </w:p>
        </w:tc>
        <w:tc>
          <w:tcPr>
            <w:tcW w:w="0" w:type="auto"/>
            <w:tcBorders>
              <w:top w:val="nil"/>
              <w:left w:val="nil"/>
              <w:bottom w:val="nil"/>
              <w:right w:val="nil"/>
            </w:tcBorders>
            <w:shd w:val="clear" w:color="auto" w:fill="auto"/>
            <w:noWrap/>
            <w:vAlign w:val="center"/>
          </w:tcPr>
          <w:p w14:paraId="010BEE70" w14:textId="77777777" w:rsidR="0065555D" w:rsidRDefault="0065555D" w:rsidP="00FB3903">
            <w:pPr>
              <w:spacing w:line="240" w:lineRule="auto"/>
              <w:jc w:val="center"/>
              <w:rPr>
                <w:sz w:val="20"/>
                <w:szCs w:val="20"/>
              </w:rPr>
            </w:pPr>
            <w:r>
              <w:rPr>
                <w:sz w:val="20"/>
                <w:szCs w:val="20"/>
              </w:rPr>
              <w:t>0.68</w:t>
            </w:r>
          </w:p>
        </w:tc>
        <w:tc>
          <w:tcPr>
            <w:tcW w:w="0" w:type="auto"/>
            <w:tcBorders>
              <w:top w:val="nil"/>
              <w:left w:val="nil"/>
              <w:bottom w:val="nil"/>
              <w:right w:val="nil"/>
            </w:tcBorders>
            <w:shd w:val="clear" w:color="auto" w:fill="auto"/>
            <w:noWrap/>
            <w:vAlign w:val="center"/>
          </w:tcPr>
          <w:p w14:paraId="41C6EAE5" w14:textId="77777777" w:rsidR="0065555D" w:rsidRDefault="0065555D" w:rsidP="00FB3903">
            <w:pPr>
              <w:spacing w:line="240" w:lineRule="auto"/>
              <w:jc w:val="center"/>
              <w:rPr>
                <w:sz w:val="20"/>
                <w:szCs w:val="20"/>
              </w:rPr>
            </w:pPr>
            <w:r>
              <w:rPr>
                <w:sz w:val="20"/>
                <w:szCs w:val="20"/>
              </w:rPr>
              <w:t>0.0761</w:t>
            </w:r>
          </w:p>
        </w:tc>
        <w:tc>
          <w:tcPr>
            <w:tcW w:w="0" w:type="auto"/>
            <w:tcBorders>
              <w:top w:val="nil"/>
              <w:left w:val="nil"/>
              <w:bottom w:val="nil"/>
              <w:right w:val="nil"/>
            </w:tcBorders>
            <w:shd w:val="clear" w:color="auto" w:fill="auto"/>
            <w:noWrap/>
            <w:vAlign w:val="center"/>
          </w:tcPr>
          <w:p w14:paraId="072E337B" w14:textId="77777777" w:rsidR="0065555D" w:rsidRDefault="0065555D" w:rsidP="00FB3903">
            <w:pPr>
              <w:spacing w:line="240" w:lineRule="auto"/>
              <w:jc w:val="center"/>
              <w:rPr>
                <w:sz w:val="20"/>
                <w:szCs w:val="20"/>
              </w:rPr>
            </w:pPr>
            <w:r>
              <w:rPr>
                <w:sz w:val="20"/>
                <w:szCs w:val="20"/>
              </w:rPr>
              <w:t>0.16</w:t>
            </w:r>
          </w:p>
        </w:tc>
        <w:tc>
          <w:tcPr>
            <w:tcW w:w="0" w:type="auto"/>
            <w:tcBorders>
              <w:top w:val="nil"/>
              <w:left w:val="nil"/>
              <w:bottom w:val="nil"/>
              <w:right w:val="nil"/>
            </w:tcBorders>
            <w:shd w:val="clear" w:color="auto" w:fill="auto"/>
            <w:noWrap/>
            <w:vAlign w:val="center"/>
          </w:tcPr>
          <w:p w14:paraId="12799DEC" w14:textId="77777777" w:rsidR="0065555D" w:rsidRDefault="0065555D" w:rsidP="00FB3903">
            <w:pPr>
              <w:spacing w:line="240" w:lineRule="auto"/>
              <w:jc w:val="center"/>
              <w:rPr>
                <w:sz w:val="20"/>
                <w:szCs w:val="20"/>
              </w:rPr>
            </w:pPr>
            <w:r>
              <w:rPr>
                <w:sz w:val="20"/>
                <w:szCs w:val="20"/>
              </w:rPr>
              <w:t>93.83</w:t>
            </w:r>
          </w:p>
        </w:tc>
        <w:tc>
          <w:tcPr>
            <w:tcW w:w="0" w:type="auto"/>
            <w:tcBorders>
              <w:top w:val="nil"/>
              <w:left w:val="nil"/>
              <w:bottom w:val="nil"/>
              <w:right w:val="nil"/>
            </w:tcBorders>
            <w:shd w:val="clear" w:color="auto" w:fill="auto"/>
            <w:noWrap/>
            <w:vAlign w:val="center"/>
          </w:tcPr>
          <w:p w14:paraId="5EAC2EF7" w14:textId="77777777" w:rsidR="0065555D" w:rsidRDefault="0065555D" w:rsidP="00FB3903">
            <w:pPr>
              <w:spacing w:line="240" w:lineRule="auto"/>
              <w:jc w:val="center"/>
              <w:rPr>
                <w:sz w:val="20"/>
                <w:szCs w:val="20"/>
              </w:rPr>
            </w:pPr>
            <w:r>
              <w:rPr>
                <w:sz w:val="20"/>
                <w:szCs w:val="20"/>
              </w:rPr>
              <w:t>18.47</w:t>
            </w:r>
          </w:p>
        </w:tc>
        <w:tc>
          <w:tcPr>
            <w:tcW w:w="0" w:type="auto"/>
            <w:tcBorders>
              <w:top w:val="nil"/>
              <w:left w:val="nil"/>
              <w:bottom w:val="nil"/>
              <w:right w:val="nil"/>
            </w:tcBorders>
            <w:shd w:val="clear" w:color="auto" w:fill="auto"/>
            <w:noWrap/>
            <w:vAlign w:val="center"/>
          </w:tcPr>
          <w:p w14:paraId="0E929778" w14:textId="77777777" w:rsidR="0065555D" w:rsidRDefault="0065555D" w:rsidP="00FB3903">
            <w:pPr>
              <w:spacing w:line="240" w:lineRule="auto"/>
              <w:jc w:val="center"/>
              <w:rPr>
                <w:sz w:val="20"/>
                <w:szCs w:val="20"/>
              </w:rPr>
            </w:pPr>
            <w:r>
              <w:rPr>
                <w:sz w:val="20"/>
                <w:szCs w:val="20"/>
              </w:rPr>
              <w:t>9.90</w:t>
            </w:r>
          </w:p>
        </w:tc>
      </w:tr>
      <w:tr w:rsidR="0065555D" w:rsidRPr="00871CAF" w14:paraId="4CDAB11E" w14:textId="77777777" w:rsidTr="007049D5">
        <w:trPr>
          <w:trHeight w:val="264"/>
          <w:jc w:val="center"/>
        </w:trPr>
        <w:tc>
          <w:tcPr>
            <w:tcW w:w="0" w:type="auto"/>
            <w:tcBorders>
              <w:top w:val="nil"/>
              <w:left w:val="nil"/>
              <w:bottom w:val="nil"/>
              <w:right w:val="nil"/>
            </w:tcBorders>
            <w:vAlign w:val="center"/>
          </w:tcPr>
          <w:p w14:paraId="5818B6D2" w14:textId="77777777" w:rsidR="0065555D" w:rsidRPr="00871CAF"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2</w:t>
            </w:r>
          </w:p>
        </w:tc>
        <w:tc>
          <w:tcPr>
            <w:tcW w:w="0" w:type="auto"/>
            <w:tcBorders>
              <w:top w:val="nil"/>
              <w:left w:val="nil"/>
              <w:bottom w:val="nil"/>
              <w:right w:val="nil"/>
            </w:tcBorders>
            <w:shd w:val="clear" w:color="auto" w:fill="auto"/>
            <w:noWrap/>
            <w:vAlign w:val="center"/>
            <w:hideMark/>
          </w:tcPr>
          <w:p w14:paraId="472A77FF" w14:textId="77777777" w:rsidR="0065555D" w:rsidRPr="00871CAF"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20 ≤ L1% &lt; 40</w:t>
            </w:r>
          </w:p>
        </w:tc>
        <w:tc>
          <w:tcPr>
            <w:tcW w:w="0" w:type="auto"/>
            <w:tcBorders>
              <w:top w:val="nil"/>
              <w:left w:val="nil"/>
              <w:bottom w:val="nil"/>
              <w:right w:val="nil"/>
            </w:tcBorders>
            <w:shd w:val="clear" w:color="auto" w:fill="auto"/>
            <w:noWrap/>
            <w:vAlign w:val="center"/>
          </w:tcPr>
          <w:p w14:paraId="434A4615" w14:textId="77777777" w:rsidR="0065555D" w:rsidRPr="00871CAF" w:rsidRDefault="0065555D" w:rsidP="00FB3903">
            <w:pPr>
              <w:spacing w:line="240" w:lineRule="auto"/>
              <w:jc w:val="center"/>
              <w:rPr>
                <w:rFonts w:eastAsia="MS Mincho" w:cs="Times New Roman"/>
                <w:sz w:val="20"/>
                <w:szCs w:val="20"/>
              </w:rPr>
            </w:pPr>
            <w:r w:rsidRPr="00871CAF">
              <w:rPr>
                <w:rFonts w:eastAsia="MS Mincho" w:cs="Times New Roman"/>
                <w:sz w:val="20"/>
                <w:szCs w:val="20"/>
              </w:rPr>
              <w:t>6,426</w:t>
            </w:r>
          </w:p>
        </w:tc>
        <w:tc>
          <w:tcPr>
            <w:tcW w:w="0" w:type="auto"/>
            <w:tcBorders>
              <w:top w:val="nil"/>
              <w:left w:val="nil"/>
              <w:bottom w:val="nil"/>
              <w:right w:val="nil"/>
            </w:tcBorders>
            <w:shd w:val="clear" w:color="auto" w:fill="auto"/>
            <w:noWrap/>
            <w:vAlign w:val="center"/>
          </w:tcPr>
          <w:p w14:paraId="136F624F" w14:textId="77777777" w:rsidR="0065555D" w:rsidRPr="00871CAF" w:rsidRDefault="0065555D" w:rsidP="00FB3903">
            <w:pPr>
              <w:spacing w:line="240" w:lineRule="auto"/>
              <w:jc w:val="center"/>
              <w:rPr>
                <w:rFonts w:eastAsia="MS Mincho" w:cs="Times New Roman"/>
                <w:sz w:val="20"/>
                <w:szCs w:val="20"/>
              </w:rPr>
            </w:pPr>
            <w:r w:rsidRPr="00871CAF">
              <w:rPr>
                <w:rFonts w:eastAsia="MS Mincho" w:cs="Times New Roman"/>
                <w:sz w:val="20"/>
                <w:szCs w:val="20"/>
              </w:rPr>
              <w:t>34.15</w:t>
            </w:r>
          </w:p>
        </w:tc>
        <w:tc>
          <w:tcPr>
            <w:tcW w:w="0" w:type="auto"/>
            <w:tcBorders>
              <w:top w:val="nil"/>
              <w:left w:val="nil"/>
              <w:bottom w:val="nil"/>
              <w:right w:val="nil"/>
            </w:tcBorders>
            <w:shd w:val="clear" w:color="auto" w:fill="auto"/>
            <w:noWrap/>
            <w:vAlign w:val="center"/>
          </w:tcPr>
          <w:p w14:paraId="331B1989" w14:textId="77777777" w:rsidR="0065555D" w:rsidRDefault="0065555D" w:rsidP="00FB3903">
            <w:pPr>
              <w:spacing w:line="240" w:lineRule="auto"/>
              <w:jc w:val="center"/>
              <w:rPr>
                <w:sz w:val="20"/>
                <w:szCs w:val="20"/>
              </w:rPr>
            </w:pPr>
            <w:r>
              <w:rPr>
                <w:sz w:val="20"/>
                <w:szCs w:val="20"/>
              </w:rPr>
              <w:t>1.5536</w:t>
            </w:r>
          </w:p>
        </w:tc>
        <w:tc>
          <w:tcPr>
            <w:tcW w:w="0" w:type="auto"/>
            <w:tcBorders>
              <w:top w:val="nil"/>
              <w:left w:val="nil"/>
              <w:bottom w:val="nil"/>
              <w:right w:val="nil"/>
            </w:tcBorders>
            <w:vAlign w:val="center"/>
          </w:tcPr>
          <w:p w14:paraId="31AF7663" w14:textId="77777777" w:rsidR="0065555D" w:rsidRDefault="0065555D" w:rsidP="00FB3903">
            <w:pPr>
              <w:spacing w:line="240" w:lineRule="auto"/>
              <w:jc w:val="center"/>
              <w:rPr>
                <w:sz w:val="20"/>
                <w:szCs w:val="20"/>
              </w:rPr>
            </w:pPr>
            <w:r>
              <w:rPr>
                <w:sz w:val="20"/>
                <w:szCs w:val="20"/>
              </w:rPr>
              <w:t>28.87</w:t>
            </w:r>
          </w:p>
        </w:tc>
        <w:tc>
          <w:tcPr>
            <w:tcW w:w="0" w:type="auto"/>
            <w:tcBorders>
              <w:top w:val="nil"/>
              <w:left w:val="nil"/>
              <w:bottom w:val="nil"/>
              <w:right w:val="nil"/>
            </w:tcBorders>
            <w:vAlign w:val="center"/>
          </w:tcPr>
          <w:p w14:paraId="335D70BC" w14:textId="77777777" w:rsidR="0065555D" w:rsidRDefault="0065555D" w:rsidP="00FB3903">
            <w:pPr>
              <w:spacing w:line="240" w:lineRule="auto"/>
              <w:jc w:val="center"/>
              <w:rPr>
                <w:sz w:val="20"/>
                <w:szCs w:val="20"/>
              </w:rPr>
            </w:pPr>
            <w:r>
              <w:rPr>
                <w:sz w:val="20"/>
                <w:szCs w:val="20"/>
              </w:rPr>
              <w:t>0.75</w:t>
            </w:r>
          </w:p>
        </w:tc>
        <w:tc>
          <w:tcPr>
            <w:tcW w:w="0" w:type="auto"/>
            <w:tcBorders>
              <w:top w:val="nil"/>
              <w:left w:val="nil"/>
              <w:bottom w:val="nil"/>
              <w:right w:val="nil"/>
            </w:tcBorders>
            <w:shd w:val="clear" w:color="auto" w:fill="auto"/>
            <w:noWrap/>
            <w:vAlign w:val="center"/>
          </w:tcPr>
          <w:p w14:paraId="22BA9BB0" w14:textId="77777777" w:rsidR="0065555D" w:rsidRDefault="0065555D" w:rsidP="00FB3903">
            <w:pPr>
              <w:spacing w:line="240" w:lineRule="auto"/>
              <w:jc w:val="center"/>
              <w:rPr>
                <w:sz w:val="20"/>
                <w:szCs w:val="20"/>
              </w:rPr>
            </w:pPr>
            <w:r>
              <w:rPr>
                <w:sz w:val="20"/>
                <w:szCs w:val="20"/>
              </w:rPr>
              <w:t>16.94</w:t>
            </w:r>
          </w:p>
        </w:tc>
        <w:tc>
          <w:tcPr>
            <w:tcW w:w="0" w:type="auto"/>
            <w:tcBorders>
              <w:top w:val="nil"/>
              <w:left w:val="nil"/>
              <w:bottom w:val="nil"/>
              <w:right w:val="nil"/>
            </w:tcBorders>
            <w:vAlign w:val="center"/>
          </w:tcPr>
          <w:p w14:paraId="6BF37C09" w14:textId="77777777" w:rsidR="0065555D" w:rsidRDefault="0065555D" w:rsidP="00FB3903">
            <w:pPr>
              <w:spacing w:line="240" w:lineRule="auto"/>
              <w:jc w:val="center"/>
              <w:rPr>
                <w:sz w:val="20"/>
                <w:szCs w:val="20"/>
              </w:rPr>
            </w:pPr>
            <w:r>
              <w:rPr>
                <w:sz w:val="20"/>
                <w:szCs w:val="20"/>
              </w:rPr>
              <w:t>8.71</w:t>
            </w:r>
          </w:p>
        </w:tc>
        <w:tc>
          <w:tcPr>
            <w:tcW w:w="0" w:type="auto"/>
            <w:tcBorders>
              <w:top w:val="nil"/>
              <w:left w:val="nil"/>
              <w:bottom w:val="nil"/>
              <w:right w:val="nil"/>
            </w:tcBorders>
            <w:shd w:val="clear" w:color="auto" w:fill="auto"/>
            <w:noWrap/>
            <w:vAlign w:val="center"/>
          </w:tcPr>
          <w:p w14:paraId="76EA61F2" w14:textId="77777777" w:rsidR="0065555D" w:rsidRDefault="0065555D" w:rsidP="00FB3903">
            <w:pPr>
              <w:spacing w:line="240" w:lineRule="auto"/>
              <w:jc w:val="center"/>
              <w:rPr>
                <w:sz w:val="20"/>
                <w:szCs w:val="20"/>
              </w:rPr>
            </w:pPr>
            <w:r>
              <w:rPr>
                <w:sz w:val="20"/>
                <w:szCs w:val="20"/>
              </w:rPr>
              <w:t>0.69</w:t>
            </w:r>
          </w:p>
        </w:tc>
        <w:tc>
          <w:tcPr>
            <w:tcW w:w="0" w:type="auto"/>
            <w:tcBorders>
              <w:top w:val="nil"/>
              <w:left w:val="nil"/>
              <w:bottom w:val="nil"/>
              <w:right w:val="nil"/>
            </w:tcBorders>
            <w:shd w:val="clear" w:color="auto" w:fill="auto"/>
            <w:noWrap/>
            <w:vAlign w:val="center"/>
          </w:tcPr>
          <w:p w14:paraId="18BC8AB6" w14:textId="77777777" w:rsidR="0065555D" w:rsidRDefault="0065555D" w:rsidP="00FB3903">
            <w:pPr>
              <w:spacing w:line="240" w:lineRule="auto"/>
              <w:jc w:val="center"/>
              <w:rPr>
                <w:sz w:val="20"/>
                <w:szCs w:val="20"/>
              </w:rPr>
            </w:pPr>
            <w:r>
              <w:rPr>
                <w:sz w:val="20"/>
                <w:szCs w:val="20"/>
              </w:rPr>
              <w:t>0.0762</w:t>
            </w:r>
          </w:p>
        </w:tc>
        <w:tc>
          <w:tcPr>
            <w:tcW w:w="0" w:type="auto"/>
            <w:tcBorders>
              <w:top w:val="nil"/>
              <w:left w:val="nil"/>
              <w:bottom w:val="nil"/>
              <w:right w:val="nil"/>
            </w:tcBorders>
            <w:shd w:val="clear" w:color="auto" w:fill="auto"/>
            <w:noWrap/>
            <w:vAlign w:val="center"/>
          </w:tcPr>
          <w:p w14:paraId="14221D18" w14:textId="77777777" w:rsidR="0065555D" w:rsidRDefault="0065555D" w:rsidP="00FB3903">
            <w:pPr>
              <w:spacing w:line="240" w:lineRule="auto"/>
              <w:jc w:val="center"/>
              <w:rPr>
                <w:sz w:val="20"/>
                <w:szCs w:val="20"/>
              </w:rPr>
            </w:pPr>
            <w:r>
              <w:rPr>
                <w:sz w:val="20"/>
                <w:szCs w:val="20"/>
              </w:rPr>
              <w:t>0.15</w:t>
            </w:r>
          </w:p>
        </w:tc>
        <w:tc>
          <w:tcPr>
            <w:tcW w:w="0" w:type="auto"/>
            <w:tcBorders>
              <w:top w:val="nil"/>
              <w:left w:val="nil"/>
              <w:bottom w:val="nil"/>
              <w:right w:val="nil"/>
            </w:tcBorders>
            <w:shd w:val="clear" w:color="auto" w:fill="auto"/>
            <w:noWrap/>
            <w:vAlign w:val="center"/>
          </w:tcPr>
          <w:p w14:paraId="7BC2E54D" w14:textId="77777777" w:rsidR="0065555D" w:rsidRDefault="0065555D" w:rsidP="00FB3903">
            <w:pPr>
              <w:spacing w:line="240" w:lineRule="auto"/>
              <w:jc w:val="center"/>
              <w:rPr>
                <w:sz w:val="20"/>
                <w:szCs w:val="20"/>
              </w:rPr>
            </w:pPr>
            <w:r>
              <w:rPr>
                <w:sz w:val="20"/>
                <w:szCs w:val="20"/>
              </w:rPr>
              <w:t>95.71</w:t>
            </w:r>
          </w:p>
        </w:tc>
        <w:tc>
          <w:tcPr>
            <w:tcW w:w="0" w:type="auto"/>
            <w:tcBorders>
              <w:top w:val="nil"/>
              <w:left w:val="nil"/>
              <w:bottom w:val="nil"/>
              <w:right w:val="nil"/>
            </w:tcBorders>
            <w:shd w:val="clear" w:color="auto" w:fill="auto"/>
            <w:noWrap/>
            <w:vAlign w:val="center"/>
          </w:tcPr>
          <w:p w14:paraId="7EE3B507" w14:textId="77777777" w:rsidR="0065555D" w:rsidRDefault="0065555D" w:rsidP="00FB3903">
            <w:pPr>
              <w:spacing w:line="240" w:lineRule="auto"/>
              <w:jc w:val="center"/>
              <w:rPr>
                <w:sz w:val="20"/>
                <w:szCs w:val="20"/>
              </w:rPr>
            </w:pPr>
            <w:r>
              <w:rPr>
                <w:sz w:val="20"/>
                <w:szCs w:val="20"/>
              </w:rPr>
              <w:t>19.72</w:t>
            </w:r>
          </w:p>
        </w:tc>
        <w:tc>
          <w:tcPr>
            <w:tcW w:w="0" w:type="auto"/>
            <w:tcBorders>
              <w:top w:val="nil"/>
              <w:left w:val="nil"/>
              <w:bottom w:val="nil"/>
              <w:right w:val="nil"/>
            </w:tcBorders>
            <w:shd w:val="clear" w:color="auto" w:fill="auto"/>
            <w:noWrap/>
            <w:vAlign w:val="center"/>
          </w:tcPr>
          <w:p w14:paraId="00A4C9B4" w14:textId="77777777" w:rsidR="0065555D" w:rsidRDefault="0065555D" w:rsidP="00FB3903">
            <w:pPr>
              <w:spacing w:line="240" w:lineRule="auto"/>
              <w:jc w:val="center"/>
              <w:rPr>
                <w:sz w:val="20"/>
                <w:szCs w:val="20"/>
              </w:rPr>
            </w:pPr>
            <w:r>
              <w:rPr>
                <w:sz w:val="20"/>
                <w:szCs w:val="20"/>
              </w:rPr>
              <w:t>9.93</w:t>
            </w:r>
          </w:p>
        </w:tc>
      </w:tr>
      <w:tr w:rsidR="0065555D" w:rsidRPr="00871CAF" w14:paraId="2BC8C060" w14:textId="77777777" w:rsidTr="007049D5">
        <w:trPr>
          <w:trHeight w:val="264"/>
          <w:jc w:val="center"/>
        </w:trPr>
        <w:tc>
          <w:tcPr>
            <w:tcW w:w="0" w:type="auto"/>
            <w:tcBorders>
              <w:top w:val="nil"/>
              <w:left w:val="nil"/>
              <w:bottom w:val="nil"/>
              <w:right w:val="nil"/>
            </w:tcBorders>
            <w:vAlign w:val="center"/>
          </w:tcPr>
          <w:p w14:paraId="7CC9A49C" w14:textId="77777777" w:rsidR="0065555D" w:rsidRPr="00871CAF"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3</w:t>
            </w:r>
          </w:p>
        </w:tc>
        <w:tc>
          <w:tcPr>
            <w:tcW w:w="0" w:type="auto"/>
            <w:tcBorders>
              <w:top w:val="nil"/>
              <w:left w:val="nil"/>
              <w:bottom w:val="nil"/>
              <w:right w:val="nil"/>
            </w:tcBorders>
            <w:shd w:val="clear" w:color="auto" w:fill="auto"/>
            <w:noWrap/>
            <w:vAlign w:val="center"/>
            <w:hideMark/>
          </w:tcPr>
          <w:p w14:paraId="5EBD02BC" w14:textId="77777777" w:rsidR="0065555D" w:rsidRPr="00871CAF"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40 ≤ L1% &lt; 60</w:t>
            </w:r>
          </w:p>
        </w:tc>
        <w:tc>
          <w:tcPr>
            <w:tcW w:w="0" w:type="auto"/>
            <w:tcBorders>
              <w:top w:val="nil"/>
              <w:left w:val="nil"/>
              <w:bottom w:val="nil"/>
              <w:right w:val="nil"/>
            </w:tcBorders>
            <w:shd w:val="clear" w:color="auto" w:fill="auto"/>
            <w:noWrap/>
            <w:vAlign w:val="center"/>
          </w:tcPr>
          <w:p w14:paraId="141ECF20" w14:textId="77777777" w:rsidR="0065555D" w:rsidRPr="00871CAF" w:rsidRDefault="0065555D" w:rsidP="00FB3903">
            <w:pPr>
              <w:spacing w:line="240" w:lineRule="auto"/>
              <w:jc w:val="center"/>
              <w:rPr>
                <w:rFonts w:eastAsia="MS Mincho" w:cs="Times New Roman"/>
                <w:sz w:val="20"/>
                <w:szCs w:val="20"/>
              </w:rPr>
            </w:pPr>
            <w:r w:rsidRPr="00871CAF">
              <w:rPr>
                <w:rFonts w:eastAsia="MS Mincho" w:cs="Times New Roman"/>
                <w:sz w:val="20"/>
                <w:szCs w:val="20"/>
              </w:rPr>
              <w:t>3,180</w:t>
            </w:r>
          </w:p>
        </w:tc>
        <w:tc>
          <w:tcPr>
            <w:tcW w:w="0" w:type="auto"/>
            <w:tcBorders>
              <w:top w:val="nil"/>
              <w:left w:val="nil"/>
              <w:bottom w:val="nil"/>
              <w:right w:val="nil"/>
            </w:tcBorders>
            <w:shd w:val="clear" w:color="auto" w:fill="auto"/>
            <w:noWrap/>
            <w:vAlign w:val="center"/>
          </w:tcPr>
          <w:p w14:paraId="7CFCB685" w14:textId="77777777" w:rsidR="0065555D" w:rsidRPr="00871CAF" w:rsidRDefault="0065555D" w:rsidP="00FB3903">
            <w:pPr>
              <w:spacing w:line="240" w:lineRule="auto"/>
              <w:jc w:val="center"/>
              <w:rPr>
                <w:rFonts w:eastAsia="MS Mincho" w:cs="Times New Roman"/>
                <w:sz w:val="20"/>
                <w:szCs w:val="20"/>
              </w:rPr>
            </w:pPr>
            <w:r w:rsidRPr="00871CAF">
              <w:rPr>
                <w:rFonts w:eastAsia="MS Mincho" w:cs="Times New Roman"/>
                <w:sz w:val="20"/>
                <w:szCs w:val="20"/>
              </w:rPr>
              <w:t>16.90</w:t>
            </w:r>
          </w:p>
        </w:tc>
        <w:tc>
          <w:tcPr>
            <w:tcW w:w="0" w:type="auto"/>
            <w:tcBorders>
              <w:top w:val="nil"/>
              <w:left w:val="nil"/>
              <w:bottom w:val="nil"/>
              <w:right w:val="nil"/>
            </w:tcBorders>
            <w:shd w:val="clear" w:color="auto" w:fill="auto"/>
            <w:noWrap/>
            <w:vAlign w:val="center"/>
          </w:tcPr>
          <w:p w14:paraId="05F2F97E" w14:textId="77777777" w:rsidR="0065555D" w:rsidRDefault="0065555D" w:rsidP="00FB3903">
            <w:pPr>
              <w:spacing w:line="240" w:lineRule="auto"/>
              <w:jc w:val="center"/>
              <w:rPr>
                <w:sz w:val="20"/>
                <w:szCs w:val="20"/>
              </w:rPr>
            </w:pPr>
            <w:r>
              <w:rPr>
                <w:sz w:val="20"/>
                <w:szCs w:val="20"/>
              </w:rPr>
              <w:t>1.5596</w:t>
            </w:r>
          </w:p>
        </w:tc>
        <w:tc>
          <w:tcPr>
            <w:tcW w:w="0" w:type="auto"/>
            <w:tcBorders>
              <w:top w:val="nil"/>
              <w:left w:val="nil"/>
              <w:bottom w:val="nil"/>
              <w:right w:val="nil"/>
            </w:tcBorders>
            <w:vAlign w:val="center"/>
          </w:tcPr>
          <w:p w14:paraId="5559FCE9" w14:textId="77777777" w:rsidR="0065555D" w:rsidRDefault="0065555D" w:rsidP="00FB3903">
            <w:pPr>
              <w:spacing w:line="240" w:lineRule="auto"/>
              <w:jc w:val="center"/>
              <w:rPr>
                <w:sz w:val="20"/>
                <w:szCs w:val="20"/>
              </w:rPr>
            </w:pPr>
            <w:r>
              <w:rPr>
                <w:sz w:val="20"/>
                <w:szCs w:val="20"/>
              </w:rPr>
              <w:t>49.04</w:t>
            </w:r>
          </w:p>
        </w:tc>
        <w:tc>
          <w:tcPr>
            <w:tcW w:w="0" w:type="auto"/>
            <w:tcBorders>
              <w:top w:val="nil"/>
              <w:left w:val="nil"/>
              <w:bottom w:val="nil"/>
              <w:right w:val="nil"/>
            </w:tcBorders>
            <w:vAlign w:val="center"/>
          </w:tcPr>
          <w:p w14:paraId="784861F0" w14:textId="77777777" w:rsidR="0065555D" w:rsidRDefault="0065555D" w:rsidP="00FB3903">
            <w:pPr>
              <w:spacing w:line="240" w:lineRule="auto"/>
              <w:jc w:val="center"/>
              <w:rPr>
                <w:sz w:val="20"/>
                <w:szCs w:val="20"/>
              </w:rPr>
            </w:pPr>
            <w:r>
              <w:rPr>
                <w:sz w:val="20"/>
                <w:szCs w:val="20"/>
              </w:rPr>
              <w:t>0.58</w:t>
            </w:r>
          </w:p>
        </w:tc>
        <w:tc>
          <w:tcPr>
            <w:tcW w:w="0" w:type="auto"/>
            <w:tcBorders>
              <w:top w:val="nil"/>
              <w:left w:val="nil"/>
              <w:bottom w:val="nil"/>
              <w:right w:val="nil"/>
            </w:tcBorders>
            <w:shd w:val="clear" w:color="auto" w:fill="auto"/>
            <w:noWrap/>
            <w:vAlign w:val="center"/>
          </w:tcPr>
          <w:p w14:paraId="0BE23897" w14:textId="77777777" w:rsidR="0065555D" w:rsidRDefault="0065555D" w:rsidP="00FB3903">
            <w:pPr>
              <w:spacing w:line="240" w:lineRule="auto"/>
              <w:jc w:val="center"/>
              <w:rPr>
                <w:sz w:val="20"/>
                <w:szCs w:val="20"/>
              </w:rPr>
            </w:pPr>
            <w:r>
              <w:rPr>
                <w:sz w:val="20"/>
                <w:szCs w:val="20"/>
              </w:rPr>
              <w:t>11.83</w:t>
            </w:r>
          </w:p>
        </w:tc>
        <w:tc>
          <w:tcPr>
            <w:tcW w:w="0" w:type="auto"/>
            <w:tcBorders>
              <w:top w:val="nil"/>
              <w:left w:val="nil"/>
              <w:bottom w:val="nil"/>
              <w:right w:val="nil"/>
            </w:tcBorders>
            <w:vAlign w:val="center"/>
          </w:tcPr>
          <w:p w14:paraId="00A1AAD6" w14:textId="77777777" w:rsidR="0065555D" w:rsidRDefault="0065555D" w:rsidP="00FB3903">
            <w:pPr>
              <w:spacing w:line="240" w:lineRule="auto"/>
              <w:jc w:val="center"/>
              <w:rPr>
                <w:sz w:val="20"/>
                <w:szCs w:val="20"/>
              </w:rPr>
            </w:pPr>
            <w:r>
              <w:rPr>
                <w:sz w:val="20"/>
                <w:szCs w:val="20"/>
              </w:rPr>
              <w:t>6.10</w:t>
            </w:r>
          </w:p>
        </w:tc>
        <w:tc>
          <w:tcPr>
            <w:tcW w:w="0" w:type="auto"/>
            <w:tcBorders>
              <w:top w:val="nil"/>
              <w:left w:val="nil"/>
              <w:bottom w:val="nil"/>
              <w:right w:val="nil"/>
            </w:tcBorders>
            <w:shd w:val="clear" w:color="auto" w:fill="auto"/>
            <w:noWrap/>
            <w:vAlign w:val="center"/>
          </w:tcPr>
          <w:p w14:paraId="55238D23" w14:textId="77777777" w:rsidR="0065555D" w:rsidRDefault="0065555D" w:rsidP="00FB3903">
            <w:pPr>
              <w:spacing w:line="240" w:lineRule="auto"/>
              <w:jc w:val="center"/>
              <w:rPr>
                <w:sz w:val="20"/>
                <w:szCs w:val="20"/>
              </w:rPr>
            </w:pPr>
            <w:r>
              <w:rPr>
                <w:sz w:val="20"/>
                <w:szCs w:val="20"/>
              </w:rPr>
              <w:t>0.70</w:t>
            </w:r>
          </w:p>
        </w:tc>
        <w:tc>
          <w:tcPr>
            <w:tcW w:w="0" w:type="auto"/>
            <w:tcBorders>
              <w:top w:val="nil"/>
              <w:left w:val="nil"/>
              <w:bottom w:val="nil"/>
              <w:right w:val="nil"/>
            </w:tcBorders>
            <w:shd w:val="clear" w:color="auto" w:fill="auto"/>
            <w:noWrap/>
            <w:vAlign w:val="center"/>
          </w:tcPr>
          <w:p w14:paraId="4FEA56CD" w14:textId="77777777" w:rsidR="0065555D" w:rsidRDefault="0065555D" w:rsidP="00FB3903">
            <w:pPr>
              <w:spacing w:line="240" w:lineRule="auto"/>
              <w:jc w:val="center"/>
              <w:rPr>
                <w:sz w:val="20"/>
                <w:szCs w:val="20"/>
              </w:rPr>
            </w:pPr>
            <w:r>
              <w:rPr>
                <w:sz w:val="20"/>
                <w:szCs w:val="20"/>
              </w:rPr>
              <w:t>0.0765</w:t>
            </w:r>
          </w:p>
        </w:tc>
        <w:tc>
          <w:tcPr>
            <w:tcW w:w="0" w:type="auto"/>
            <w:tcBorders>
              <w:top w:val="nil"/>
              <w:left w:val="nil"/>
              <w:bottom w:val="nil"/>
              <w:right w:val="nil"/>
            </w:tcBorders>
            <w:shd w:val="clear" w:color="auto" w:fill="auto"/>
            <w:noWrap/>
            <w:vAlign w:val="center"/>
          </w:tcPr>
          <w:p w14:paraId="6C10C8AB" w14:textId="77777777" w:rsidR="0065555D" w:rsidRDefault="0065555D" w:rsidP="00FB3903">
            <w:pPr>
              <w:spacing w:line="240" w:lineRule="auto"/>
              <w:jc w:val="center"/>
              <w:rPr>
                <w:sz w:val="20"/>
                <w:szCs w:val="20"/>
              </w:rPr>
            </w:pPr>
            <w:r>
              <w:rPr>
                <w:sz w:val="20"/>
                <w:szCs w:val="20"/>
              </w:rPr>
              <w:t>0.16</w:t>
            </w:r>
          </w:p>
        </w:tc>
        <w:tc>
          <w:tcPr>
            <w:tcW w:w="0" w:type="auto"/>
            <w:tcBorders>
              <w:top w:val="nil"/>
              <w:left w:val="nil"/>
              <w:bottom w:val="nil"/>
              <w:right w:val="nil"/>
            </w:tcBorders>
            <w:shd w:val="clear" w:color="auto" w:fill="auto"/>
            <w:noWrap/>
            <w:vAlign w:val="center"/>
          </w:tcPr>
          <w:p w14:paraId="5AEF2BED" w14:textId="77777777" w:rsidR="0065555D" w:rsidRDefault="0065555D" w:rsidP="00FB3903">
            <w:pPr>
              <w:spacing w:line="240" w:lineRule="auto"/>
              <w:jc w:val="center"/>
              <w:rPr>
                <w:sz w:val="20"/>
                <w:szCs w:val="20"/>
              </w:rPr>
            </w:pPr>
            <w:r>
              <w:rPr>
                <w:sz w:val="20"/>
                <w:szCs w:val="20"/>
              </w:rPr>
              <w:t>97.08</w:t>
            </w:r>
          </w:p>
        </w:tc>
        <w:tc>
          <w:tcPr>
            <w:tcW w:w="0" w:type="auto"/>
            <w:tcBorders>
              <w:top w:val="nil"/>
              <w:left w:val="nil"/>
              <w:bottom w:val="nil"/>
              <w:right w:val="nil"/>
            </w:tcBorders>
            <w:shd w:val="clear" w:color="auto" w:fill="auto"/>
            <w:noWrap/>
            <w:vAlign w:val="center"/>
          </w:tcPr>
          <w:p w14:paraId="2474FAD7" w14:textId="77777777" w:rsidR="0065555D" w:rsidRDefault="0065555D" w:rsidP="00FB3903">
            <w:pPr>
              <w:spacing w:line="240" w:lineRule="auto"/>
              <w:jc w:val="center"/>
              <w:rPr>
                <w:sz w:val="20"/>
                <w:szCs w:val="20"/>
              </w:rPr>
            </w:pPr>
            <w:r>
              <w:rPr>
                <w:sz w:val="20"/>
                <w:szCs w:val="20"/>
              </w:rPr>
              <w:t>19.21</w:t>
            </w:r>
          </w:p>
        </w:tc>
        <w:tc>
          <w:tcPr>
            <w:tcW w:w="0" w:type="auto"/>
            <w:tcBorders>
              <w:top w:val="nil"/>
              <w:left w:val="nil"/>
              <w:bottom w:val="nil"/>
              <w:right w:val="nil"/>
            </w:tcBorders>
            <w:shd w:val="clear" w:color="auto" w:fill="auto"/>
            <w:noWrap/>
            <w:vAlign w:val="center"/>
          </w:tcPr>
          <w:p w14:paraId="36C7D87B" w14:textId="77777777" w:rsidR="0065555D" w:rsidRDefault="0065555D" w:rsidP="00FB3903">
            <w:pPr>
              <w:spacing w:line="240" w:lineRule="auto"/>
              <w:jc w:val="center"/>
              <w:rPr>
                <w:sz w:val="20"/>
                <w:szCs w:val="20"/>
              </w:rPr>
            </w:pPr>
            <w:r>
              <w:rPr>
                <w:sz w:val="20"/>
                <w:szCs w:val="20"/>
              </w:rPr>
              <w:t>9.98</w:t>
            </w:r>
          </w:p>
        </w:tc>
      </w:tr>
      <w:tr w:rsidR="0065555D" w:rsidRPr="00871CAF" w14:paraId="1010352A" w14:textId="77777777" w:rsidTr="007049D5">
        <w:trPr>
          <w:trHeight w:val="264"/>
          <w:jc w:val="center"/>
        </w:trPr>
        <w:tc>
          <w:tcPr>
            <w:tcW w:w="0" w:type="auto"/>
            <w:tcBorders>
              <w:top w:val="nil"/>
              <w:left w:val="nil"/>
              <w:bottom w:val="nil"/>
              <w:right w:val="nil"/>
            </w:tcBorders>
            <w:vAlign w:val="center"/>
          </w:tcPr>
          <w:p w14:paraId="4F88E69C" w14:textId="77777777" w:rsidR="0065555D" w:rsidRPr="00871CAF"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4</w:t>
            </w:r>
          </w:p>
        </w:tc>
        <w:tc>
          <w:tcPr>
            <w:tcW w:w="0" w:type="auto"/>
            <w:tcBorders>
              <w:top w:val="nil"/>
              <w:left w:val="nil"/>
              <w:bottom w:val="nil"/>
              <w:right w:val="nil"/>
            </w:tcBorders>
            <w:shd w:val="clear" w:color="auto" w:fill="auto"/>
            <w:noWrap/>
            <w:vAlign w:val="center"/>
            <w:hideMark/>
          </w:tcPr>
          <w:p w14:paraId="5203D04D" w14:textId="77777777" w:rsidR="0065555D" w:rsidRPr="00871CAF"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60 ≤ L1% &lt; 80</w:t>
            </w:r>
          </w:p>
        </w:tc>
        <w:tc>
          <w:tcPr>
            <w:tcW w:w="0" w:type="auto"/>
            <w:tcBorders>
              <w:top w:val="nil"/>
              <w:left w:val="nil"/>
              <w:bottom w:val="nil"/>
              <w:right w:val="nil"/>
            </w:tcBorders>
            <w:shd w:val="clear" w:color="auto" w:fill="auto"/>
            <w:noWrap/>
            <w:vAlign w:val="center"/>
          </w:tcPr>
          <w:p w14:paraId="775B0DCF" w14:textId="77777777" w:rsidR="0065555D" w:rsidRPr="00871CAF" w:rsidRDefault="0065555D" w:rsidP="00FB3903">
            <w:pPr>
              <w:spacing w:line="240" w:lineRule="auto"/>
              <w:jc w:val="center"/>
              <w:rPr>
                <w:rFonts w:eastAsia="MS Mincho" w:cs="Times New Roman"/>
                <w:sz w:val="20"/>
                <w:szCs w:val="20"/>
              </w:rPr>
            </w:pPr>
            <w:r w:rsidRPr="00871CAF">
              <w:rPr>
                <w:rFonts w:eastAsia="MS Mincho" w:cs="Times New Roman"/>
                <w:sz w:val="20"/>
                <w:szCs w:val="20"/>
              </w:rPr>
              <w:t>1,581</w:t>
            </w:r>
          </w:p>
        </w:tc>
        <w:tc>
          <w:tcPr>
            <w:tcW w:w="0" w:type="auto"/>
            <w:tcBorders>
              <w:top w:val="nil"/>
              <w:left w:val="nil"/>
              <w:bottom w:val="nil"/>
              <w:right w:val="nil"/>
            </w:tcBorders>
            <w:shd w:val="clear" w:color="auto" w:fill="auto"/>
            <w:noWrap/>
            <w:vAlign w:val="center"/>
          </w:tcPr>
          <w:p w14:paraId="7B2DB75B" w14:textId="77777777" w:rsidR="0065555D" w:rsidRPr="00871CAF" w:rsidRDefault="0065555D" w:rsidP="00FB3903">
            <w:pPr>
              <w:spacing w:line="240" w:lineRule="auto"/>
              <w:jc w:val="center"/>
              <w:rPr>
                <w:rFonts w:eastAsia="MS Mincho" w:cs="Times New Roman"/>
                <w:sz w:val="20"/>
                <w:szCs w:val="20"/>
              </w:rPr>
            </w:pPr>
            <w:r w:rsidRPr="00871CAF">
              <w:rPr>
                <w:rFonts w:eastAsia="MS Mincho" w:cs="Times New Roman"/>
                <w:sz w:val="20"/>
                <w:szCs w:val="20"/>
              </w:rPr>
              <w:t>8.40</w:t>
            </w:r>
          </w:p>
        </w:tc>
        <w:tc>
          <w:tcPr>
            <w:tcW w:w="0" w:type="auto"/>
            <w:tcBorders>
              <w:top w:val="nil"/>
              <w:left w:val="nil"/>
              <w:bottom w:val="nil"/>
              <w:right w:val="nil"/>
            </w:tcBorders>
            <w:shd w:val="clear" w:color="auto" w:fill="auto"/>
            <w:noWrap/>
            <w:vAlign w:val="center"/>
          </w:tcPr>
          <w:p w14:paraId="23E01353" w14:textId="77777777" w:rsidR="0065555D" w:rsidRDefault="0065555D" w:rsidP="00FB3903">
            <w:pPr>
              <w:spacing w:line="240" w:lineRule="auto"/>
              <w:jc w:val="center"/>
              <w:rPr>
                <w:sz w:val="20"/>
                <w:szCs w:val="20"/>
              </w:rPr>
            </w:pPr>
            <w:r>
              <w:rPr>
                <w:sz w:val="20"/>
                <w:szCs w:val="20"/>
              </w:rPr>
              <w:t>1.5480</w:t>
            </w:r>
          </w:p>
        </w:tc>
        <w:tc>
          <w:tcPr>
            <w:tcW w:w="0" w:type="auto"/>
            <w:tcBorders>
              <w:top w:val="nil"/>
              <w:left w:val="nil"/>
              <w:bottom w:val="nil"/>
              <w:right w:val="nil"/>
            </w:tcBorders>
            <w:vAlign w:val="center"/>
          </w:tcPr>
          <w:p w14:paraId="665214F7" w14:textId="77777777" w:rsidR="0065555D" w:rsidRDefault="0065555D" w:rsidP="00FB3903">
            <w:pPr>
              <w:spacing w:line="240" w:lineRule="auto"/>
              <w:jc w:val="center"/>
              <w:rPr>
                <w:sz w:val="20"/>
                <w:szCs w:val="20"/>
              </w:rPr>
            </w:pPr>
            <w:r>
              <w:rPr>
                <w:sz w:val="20"/>
                <w:szCs w:val="20"/>
              </w:rPr>
              <w:t>68.32</w:t>
            </w:r>
          </w:p>
        </w:tc>
        <w:tc>
          <w:tcPr>
            <w:tcW w:w="0" w:type="auto"/>
            <w:tcBorders>
              <w:top w:val="nil"/>
              <w:left w:val="nil"/>
              <w:bottom w:val="nil"/>
              <w:right w:val="nil"/>
            </w:tcBorders>
            <w:vAlign w:val="center"/>
          </w:tcPr>
          <w:p w14:paraId="75FB424F" w14:textId="77777777" w:rsidR="0065555D" w:rsidRDefault="0065555D" w:rsidP="00FB3903">
            <w:pPr>
              <w:spacing w:line="240" w:lineRule="auto"/>
              <w:jc w:val="center"/>
              <w:rPr>
                <w:sz w:val="20"/>
                <w:szCs w:val="20"/>
              </w:rPr>
            </w:pPr>
            <w:r>
              <w:rPr>
                <w:sz w:val="20"/>
                <w:szCs w:val="20"/>
              </w:rPr>
              <w:t>0.41</w:t>
            </w:r>
          </w:p>
        </w:tc>
        <w:tc>
          <w:tcPr>
            <w:tcW w:w="0" w:type="auto"/>
            <w:tcBorders>
              <w:top w:val="nil"/>
              <w:left w:val="nil"/>
              <w:bottom w:val="nil"/>
              <w:right w:val="nil"/>
            </w:tcBorders>
            <w:shd w:val="clear" w:color="auto" w:fill="auto"/>
            <w:noWrap/>
            <w:vAlign w:val="center"/>
          </w:tcPr>
          <w:p w14:paraId="432BD732" w14:textId="77777777" w:rsidR="0065555D" w:rsidRDefault="0065555D" w:rsidP="00FB3903">
            <w:pPr>
              <w:spacing w:line="240" w:lineRule="auto"/>
              <w:jc w:val="center"/>
              <w:rPr>
                <w:sz w:val="20"/>
                <w:szCs w:val="20"/>
              </w:rPr>
            </w:pPr>
            <w:r>
              <w:rPr>
                <w:sz w:val="20"/>
                <w:szCs w:val="20"/>
              </w:rPr>
              <w:t>9.57</w:t>
            </w:r>
          </w:p>
        </w:tc>
        <w:tc>
          <w:tcPr>
            <w:tcW w:w="0" w:type="auto"/>
            <w:tcBorders>
              <w:top w:val="nil"/>
              <w:left w:val="nil"/>
              <w:bottom w:val="nil"/>
              <w:right w:val="nil"/>
            </w:tcBorders>
            <w:vAlign w:val="center"/>
          </w:tcPr>
          <w:p w14:paraId="03EB74CE" w14:textId="77777777" w:rsidR="0065555D" w:rsidRDefault="0065555D" w:rsidP="00FB3903">
            <w:pPr>
              <w:spacing w:line="240" w:lineRule="auto"/>
              <w:jc w:val="center"/>
              <w:rPr>
                <w:sz w:val="20"/>
                <w:szCs w:val="20"/>
              </w:rPr>
            </w:pPr>
            <w:r>
              <w:rPr>
                <w:sz w:val="20"/>
                <w:szCs w:val="20"/>
              </w:rPr>
              <w:t>4.95</w:t>
            </w:r>
          </w:p>
        </w:tc>
        <w:tc>
          <w:tcPr>
            <w:tcW w:w="0" w:type="auto"/>
            <w:tcBorders>
              <w:top w:val="nil"/>
              <w:left w:val="nil"/>
              <w:bottom w:val="nil"/>
              <w:right w:val="nil"/>
            </w:tcBorders>
            <w:shd w:val="clear" w:color="auto" w:fill="auto"/>
            <w:noWrap/>
            <w:vAlign w:val="center"/>
          </w:tcPr>
          <w:p w14:paraId="7AECBBEE" w14:textId="77777777" w:rsidR="0065555D" w:rsidRDefault="0065555D" w:rsidP="00FB3903">
            <w:pPr>
              <w:spacing w:line="240" w:lineRule="auto"/>
              <w:jc w:val="center"/>
              <w:rPr>
                <w:sz w:val="20"/>
                <w:szCs w:val="20"/>
              </w:rPr>
            </w:pPr>
            <w:r>
              <w:rPr>
                <w:sz w:val="20"/>
                <w:szCs w:val="20"/>
              </w:rPr>
              <w:t>0.70</w:t>
            </w:r>
          </w:p>
        </w:tc>
        <w:tc>
          <w:tcPr>
            <w:tcW w:w="0" w:type="auto"/>
            <w:tcBorders>
              <w:top w:val="nil"/>
              <w:left w:val="nil"/>
              <w:bottom w:val="nil"/>
              <w:right w:val="nil"/>
            </w:tcBorders>
            <w:shd w:val="clear" w:color="auto" w:fill="auto"/>
            <w:noWrap/>
            <w:vAlign w:val="center"/>
          </w:tcPr>
          <w:p w14:paraId="66F28308" w14:textId="77777777" w:rsidR="0065555D" w:rsidRDefault="0065555D" w:rsidP="00FB3903">
            <w:pPr>
              <w:spacing w:line="240" w:lineRule="auto"/>
              <w:jc w:val="center"/>
              <w:rPr>
                <w:sz w:val="20"/>
                <w:szCs w:val="20"/>
              </w:rPr>
            </w:pPr>
            <w:r>
              <w:rPr>
                <w:sz w:val="20"/>
                <w:szCs w:val="20"/>
              </w:rPr>
              <w:t>0.0759</w:t>
            </w:r>
          </w:p>
        </w:tc>
        <w:tc>
          <w:tcPr>
            <w:tcW w:w="0" w:type="auto"/>
            <w:tcBorders>
              <w:top w:val="nil"/>
              <w:left w:val="nil"/>
              <w:bottom w:val="nil"/>
              <w:right w:val="nil"/>
            </w:tcBorders>
            <w:shd w:val="clear" w:color="auto" w:fill="auto"/>
            <w:noWrap/>
            <w:vAlign w:val="center"/>
          </w:tcPr>
          <w:p w14:paraId="0099C791" w14:textId="77777777" w:rsidR="0065555D" w:rsidRDefault="0065555D" w:rsidP="00FB3903">
            <w:pPr>
              <w:spacing w:line="240" w:lineRule="auto"/>
              <w:jc w:val="center"/>
              <w:rPr>
                <w:sz w:val="20"/>
                <w:szCs w:val="20"/>
              </w:rPr>
            </w:pPr>
            <w:r>
              <w:rPr>
                <w:sz w:val="20"/>
                <w:szCs w:val="20"/>
              </w:rPr>
              <w:t>0.16</w:t>
            </w:r>
          </w:p>
        </w:tc>
        <w:tc>
          <w:tcPr>
            <w:tcW w:w="0" w:type="auto"/>
            <w:tcBorders>
              <w:top w:val="nil"/>
              <w:left w:val="nil"/>
              <w:bottom w:val="nil"/>
              <w:right w:val="nil"/>
            </w:tcBorders>
            <w:shd w:val="clear" w:color="auto" w:fill="auto"/>
            <w:noWrap/>
            <w:vAlign w:val="center"/>
          </w:tcPr>
          <w:p w14:paraId="2689AA3E" w14:textId="77777777" w:rsidR="0065555D" w:rsidRDefault="0065555D" w:rsidP="00FB3903">
            <w:pPr>
              <w:spacing w:line="240" w:lineRule="auto"/>
              <w:jc w:val="center"/>
              <w:rPr>
                <w:sz w:val="20"/>
                <w:szCs w:val="20"/>
              </w:rPr>
            </w:pPr>
            <w:r>
              <w:rPr>
                <w:sz w:val="20"/>
                <w:szCs w:val="20"/>
              </w:rPr>
              <w:t>97.78</w:t>
            </w:r>
          </w:p>
        </w:tc>
        <w:tc>
          <w:tcPr>
            <w:tcW w:w="0" w:type="auto"/>
            <w:tcBorders>
              <w:top w:val="nil"/>
              <w:left w:val="nil"/>
              <w:bottom w:val="nil"/>
              <w:right w:val="nil"/>
            </w:tcBorders>
            <w:shd w:val="clear" w:color="auto" w:fill="auto"/>
            <w:noWrap/>
            <w:vAlign w:val="center"/>
          </w:tcPr>
          <w:p w14:paraId="0A54D895" w14:textId="77777777" w:rsidR="0065555D" w:rsidRDefault="0065555D" w:rsidP="00FB3903">
            <w:pPr>
              <w:spacing w:line="240" w:lineRule="auto"/>
              <w:jc w:val="center"/>
              <w:rPr>
                <w:sz w:val="20"/>
                <w:szCs w:val="20"/>
              </w:rPr>
            </w:pPr>
            <w:r>
              <w:rPr>
                <w:sz w:val="20"/>
                <w:szCs w:val="20"/>
              </w:rPr>
              <w:t>16.25</w:t>
            </w:r>
          </w:p>
        </w:tc>
        <w:tc>
          <w:tcPr>
            <w:tcW w:w="0" w:type="auto"/>
            <w:tcBorders>
              <w:top w:val="nil"/>
              <w:left w:val="nil"/>
              <w:bottom w:val="nil"/>
              <w:right w:val="nil"/>
            </w:tcBorders>
            <w:shd w:val="clear" w:color="auto" w:fill="auto"/>
            <w:noWrap/>
            <w:vAlign w:val="center"/>
          </w:tcPr>
          <w:p w14:paraId="740572C0" w14:textId="77777777" w:rsidR="0065555D" w:rsidRDefault="0065555D" w:rsidP="00FB3903">
            <w:pPr>
              <w:spacing w:line="240" w:lineRule="auto"/>
              <w:jc w:val="center"/>
              <w:rPr>
                <w:sz w:val="20"/>
                <w:szCs w:val="20"/>
              </w:rPr>
            </w:pPr>
            <w:r>
              <w:rPr>
                <w:sz w:val="20"/>
                <w:szCs w:val="20"/>
              </w:rPr>
              <w:t>10.02</w:t>
            </w:r>
          </w:p>
        </w:tc>
      </w:tr>
      <w:tr w:rsidR="0065555D" w:rsidRPr="00871CAF" w14:paraId="62725397" w14:textId="77777777" w:rsidTr="007049D5">
        <w:trPr>
          <w:trHeight w:val="264"/>
          <w:jc w:val="center"/>
        </w:trPr>
        <w:tc>
          <w:tcPr>
            <w:tcW w:w="0" w:type="auto"/>
            <w:tcBorders>
              <w:top w:val="nil"/>
              <w:left w:val="nil"/>
              <w:bottom w:val="nil"/>
              <w:right w:val="nil"/>
            </w:tcBorders>
            <w:vAlign w:val="center"/>
          </w:tcPr>
          <w:p w14:paraId="58D43C6F" w14:textId="77777777" w:rsidR="0065555D" w:rsidRPr="00871CAF"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5</w:t>
            </w:r>
          </w:p>
        </w:tc>
        <w:tc>
          <w:tcPr>
            <w:tcW w:w="0" w:type="auto"/>
            <w:tcBorders>
              <w:top w:val="nil"/>
              <w:left w:val="nil"/>
              <w:bottom w:val="nil"/>
              <w:right w:val="nil"/>
            </w:tcBorders>
            <w:shd w:val="clear" w:color="auto" w:fill="auto"/>
            <w:noWrap/>
            <w:vAlign w:val="center"/>
            <w:hideMark/>
          </w:tcPr>
          <w:p w14:paraId="611F66A8" w14:textId="77777777" w:rsidR="0065555D" w:rsidRPr="00871CAF"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80 ≤ L1% &lt; 100</w:t>
            </w:r>
          </w:p>
        </w:tc>
        <w:tc>
          <w:tcPr>
            <w:tcW w:w="0" w:type="auto"/>
            <w:tcBorders>
              <w:top w:val="nil"/>
              <w:left w:val="nil"/>
              <w:bottom w:val="nil"/>
              <w:right w:val="nil"/>
            </w:tcBorders>
            <w:shd w:val="clear" w:color="auto" w:fill="auto"/>
            <w:noWrap/>
            <w:vAlign w:val="center"/>
          </w:tcPr>
          <w:p w14:paraId="0CB2304C" w14:textId="77777777" w:rsidR="0065555D" w:rsidRPr="00871CAF" w:rsidRDefault="0065555D" w:rsidP="00FB3903">
            <w:pPr>
              <w:spacing w:line="240" w:lineRule="auto"/>
              <w:jc w:val="center"/>
              <w:rPr>
                <w:rFonts w:eastAsia="MS Mincho" w:cs="Times New Roman"/>
                <w:sz w:val="20"/>
                <w:szCs w:val="20"/>
              </w:rPr>
            </w:pPr>
            <w:r w:rsidRPr="00871CAF">
              <w:rPr>
                <w:rFonts w:eastAsia="MS Mincho" w:cs="Times New Roman"/>
                <w:sz w:val="20"/>
                <w:szCs w:val="20"/>
              </w:rPr>
              <w:t>374</w:t>
            </w:r>
          </w:p>
        </w:tc>
        <w:tc>
          <w:tcPr>
            <w:tcW w:w="0" w:type="auto"/>
            <w:tcBorders>
              <w:top w:val="nil"/>
              <w:left w:val="nil"/>
              <w:bottom w:val="nil"/>
              <w:right w:val="nil"/>
            </w:tcBorders>
            <w:shd w:val="clear" w:color="auto" w:fill="auto"/>
            <w:noWrap/>
            <w:vAlign w:val="center"/>
          </w:tcPr>
          <w:p w14:paraId="2AF3915A" w14:textId="77777777" w:rsidR="0065555D" w:rsidRPr="00871CAF" w:rsidRDefault="0065555D" w:rsidP="00FB3903">
            <w:pPr>
              <w:spacing w:line="240" w:lineRule="auto"/>
              <w:jc w:val="center"/>
              <w:rPr>
                <w:rFonts w:eastAsia="MS Mincho" w:cs="Times New Roman"/>
                <w:sz w:val="20"/>
                <w:szCs w:val="20"/>
              </w:rPr>
            </w:pPr>
            <w:r w:rsidRPr="00871CAF">
              <w:rPr>
                <w:rFonts w:eastAsia="MS Mincho" w:cs="Times New Roman"/>
                <w:sz w:val="20"/>
                <w:szCs w:val="20"/>
              </w:rPr>
              <w:t>1.99</w:t>
            </w:r>
          </w:p>
        </w:tc>
        <w:tc>
          <w:tcPr>
            <w:tcW w:w="0" w:type="auto"/>
            <w:tcBorders>
              <w:top w:val="nil"/>
              <w:left w:val="nil"/>
              <w:bottom w:val="nil"/>
              <w:right w:val="nil"/>
            </w:tcBorders>
            <w:shd w:val="clear" w:color="auto" w:fill="auto"/>
            <w:noWrap/>
            <w:vAlign w:val="center"/>
          </w:tcPr>
          <w:p w14:paraId="5D1BF6F2" w14:textId="77777777" w:rsidR="0065555D" w:rsidRDefault="0065555D" w:rsidP="00FB3903">
            <w:pPr>
              <w:spacing w:line="240" w:lineRule="auto"/>
              <w:jc w:val="center"/>
              <w:rPr>
                <w:sz w:val="20"/>
                <w:szCs w:val="20"/>
              </w:rPr>
            </w:pPr>
            <w:r>
              <w:rPr>
                <w:sz w:val="20"/>
                <w:szCs w:val="20"/>
              </w:rPr>
              <w:t>1.6005</w:t>
            </w:r>
          </w:p>
        </w:tc>
        <w:tc>
          <w:tcPr>
            <w:tcW w:w="0" w:type="auto"/>
            <w:tcBorders>
              <w:top w:val="nil"/>
              <w:left w:val="nil"/>
              <w:bottom w:val="nil"/>
              <w:right w:val="nil"/>
            </w:tcBorders>
            <w:vAlign w:val="center"/>
          </w:tcPr>
          <w:p w14:paraId="14DD862C" w14:textId="77777777" w:rsidR="0065555D" w:rsidRDefault="0065555D" w:rsidP="00FB3903">
            <w:pPr>
              <w:spacing w:line="240" w:lineRule="auto"/>
              <w:jc w:val="center"/>
              <w:rPr>
                <w:sz w:val="20"/>
                <w:szCs w:val="20"/>
              </w:rPr>
            </w:pPr>
            <w:r>
              <w:rPr>
                <w:sz w:val="20"/>
                <w:szCs w:val="20"/>
              </w:rPr>
              <w:t>87.37</w:t>
            </w:r>
          </w:p>
        </w:tc>
        <w:tc>
          <w:tcPr>
            <w:tcW w:w="0" w:type="auto"/>
            <w:tcBorders>
              <w:top w:val="nil"/>
              <w:left w:val="nil"/>
              <w:bottom w:val="nil"/>
              <w:right w:val="nil"/>
            </w:tcBorders>
            <w:vAlign w:val="center"/>
          </w:tcPr>
          <w:p w14:paraId="1170FAD0" w14:textId="77777777" w:rsidR="0065555D" w:rsidRDefault="0065555D" w:rsidP="00FB3903">
            <w:pPr>
              <w:spacing w:line="240" w:lineRule="auto"/>
              <w:jc w:val="center"/>
              <w:rPr>
                <w:sz w:val="20"/>
                <w:szCs w:val="20"/>
              </w:rPr>
            </w:pPr>
            <w:r>
              <w:rPr>
                <w:sz w:val="20"/>
                <w:szCs w:val="20"/>
              </w:rPr>
              <w:t>0.33</w:t>
            </w:r>
          </w:p>
        </w:tc>
        <w:tc>
          <w:tcPr>
            <w:tcW w:w="0" w:type="auto"/>
            <w:tcBorders>
              <w:top w:val="nil"/>
              <w:left w:val="nil"/>
              <w:bottom w:val="nil"/>
              <w:right w:val="nil"/>
            </w:tcBorders>
            <w:shd w:val="clear" w:color="auto" w:fill="auto"/>
            <w:noWrap/>
            <w:vAlign w:val="center"/>
          </w:tcPr>
          <w:p w14:paraId="3652B336" w14:textId="77777777" w:rsidR="0065555D" w:rsidRDefault="0065555D" w:rsidP="00FB3903">
            <w:pPr>
              <w:spacing w:line="240" w:lineRule="auto"/>
              <w:jc w:val="center"/>
              <w:rPr>
                <w:sz w:val="20"/>
                <w:szCs w:val="20"/>
              </w:rPr>
            </w:pPr>
            <w:r>
              <w:rPr>
                <w:sz w:val="20"/>
                <w:szCs w:val="20"/>
              </w:rPr>
              <w:t>9.56</w:t>
            </w:r>
          </w:p>
        </w:tc>
        <w:tc>
          <w:tcPr>
            <w:tcW w:w="0" w:type="auto"/>
            <w:tcBorders>
              <w:top w:val="nil"/>
              <w:left w:val="nil"/>
              <w:bottom w:val="nil"/>
              <w:right w:val="nil"/>
            </w:tcBorders>
            <w:vAlign w:val="center"/>
          </w:tcPr>
          <w:p w14:paraId="1DB1FA8E" w14:textId="77777777" w:rsidR="0065555D" w:rsidRDefault="0065555D" w:rsidP="00FB3903">
            <w:pPr>
              <w:spacing w:line="240" w:lineRule="auto"/>
              <w:jc w:val="center"/>
              <w:rPr>
                <w:sz w:val="20"/>
                <w:szCs w:val="20"/>
              </w:rPr>
            </w:pPr>
            <w:r>
              <w:rPr>
                <w:sz w:val="20"/>
                <w:szCs w:val="20"/>
              </w:rPr>
              <w:t>4.91</w:t>
            </w:r>
          </w:p>
        </w:tc>
        <w:tc>
          <w:tcPr>
            <w:tcW w:w="0" w:type="auto"/>
            <w:tcBorders>
              <w:top w:val="nil"/>
              <w:left w:val="nil"/>
              <w:bottom w:val="nil"/>
              <w:right w:val="nil"/>
            </w:tcBorders>
            <w:shd w:val="clear" w:color="auto" w:fill="auto"/>
            <w:noWrap/>
            <w:vAlign w:val="center"/>
          </w:tcPr>
          <w:p w14:paraId="4FE5EE8E" w14:textId="77777777" w:rsidR="0065555D" w:rsidRDefault="0065555D" w:rsidP="00FB3903">
            <w:pPr>
              <w:spacing w:line="240" w:lineRule="auto"/>
              <w:jc w:val="center"/>
              <w:rPr>
                <w:sz w:val="20"/>
                <w:szCs w:val="20"/>
              </w:rPr>
            </w:pPr>
            <w:r>
              <w:rPr>
                <w:sz w:val="20"/>
                <w:szCs w:val="20"/>
              </w:rPr>
              <w:t>0.69</w:t>
            </w:r>
          </w:p>
        </w:tc>
        <w:tc>
          <w:tcPr>
            <w:tcW w:w="0" w:type="auto"/>
            <w:tcBorders>
              <w:top w:val="nil"/>
              <w:left w:val="nil"/>
              <w:bottom w:val="nil"/>
              <w:right w:val="nil"/>
            </w:tcBorders>
            <w:shd w:val="clear" w:color="auto" w:fill="auto"/>
            <w:noWrap/>
            <w:vAlign w:val="center"/>
          </w:tcPr>
          <w:p w14:paraId="42FD96AD" w14:textId="77777777" w:rsidR="0065555D" w:rsidRDefault="0065555D" w:rsidP="00FB3903">
            <w:pPr>
              <w:spacing w:line="240" w:lineRule="auto"/>
              <w:jc w:val="center"/>
              <w:rPr>
                <w:sz w:val="20"/>
                <w:szCs w:val="20"/>
              </w:rPr>
            </w:pPr>
            <w:r>
              <w:rPr>
                <w:sz w:val="20"/>
                <w:szCs w:val="20"/>
              </w:rPr>
              <w:t>0.0759</w:t>
            </w:r>
          </w:p>
        </w:tc>
        <w:tc>
          <w:tcPr>
            <w:tcW w:w="0" w:type="auto"/>
            <w:tcBorders>
              <w:top w:val="nil"/>
              <w:left w:val="nil"/>
              <w:bottom w:val="nil"/>
              <w:right w:val="nil"/>
            </w:tcBorders>
            <w:shd w:val="clear" w:color="auto" w:fill="auto"/>
            <w:noWrap/>
            <w:vAlign w:val="center"/>
          </w:tcPr>
          <w:p w14:paraId="158A4391" w14:textId="77777777" w:rsidR="0065555D" w:rsidRDefault="0065555D" w:rsidP="00FB3903">
            <w:pPr>
              <w:spacing w:line="240" w:lineRule="auto"/>
              <w:jc w:val="center"/>
              <w:rPr>
                <w:sz w:val="20"/>
                <w:szCs w:val="20"/>
              </w:rPr>
            </w:pPr>
            <w:r>
              <w:rPr>
                <w:sz w:val="20"/>
                <w:szCs w:val="20"/>
              </w:rPr>
              <w:t>0.18</w:t>
            </w:r>
          </w:p>
        </w:tc>
        <w:tc>
          <w:tcPr>
            <w:tcW w:w="0" w:type="auto"/>
            <w:tcBorders>
              <w:top w:val="nil"/>
              <w:left w:val="nil"/>
              <w:bottom w:val="nil"/>
              <w:right w:val="nil"/>
            </w:tcBorders>
            <w:shd w:val="clear" w:color="auto" w:fill="auto"/>
            <w:noWrap/>
            <w:vAlign w:val="center"/>
          </w:tcPr>
          <w:p w14:paraId="744EC78C" w14:textId="77777777" w:rsidR="0065555D" w:rsidRDefault="0065555D" w:rsidP="00FB3903">
            <w:pPr>
              <w:spacing w:line="240" w:lineRule="auto"/>
              <w:jc w:val="center"/>
              <w:rPr>
                <w:sz w:val="20"/>
                <w:szCs w:val="20"/>
              </w:rPr>
            </w:pPr>
            <w:r>
              <w:rPr>
                <w:sz w:val="20"/>
                <w:szCs w:val="20"/>
              </w:rPr>
              <w:t>98.94</w:t>
            </w:r>
          </w:p>
        </w:tc>
        <w:tc>
          <w:tcPr>
            <w:tcW w:w="0" w:type="auto"/>
            <w:tcBorders>
              <w:top w:val="nil"/>
              <w:left w:val="nil"/>
              <w:bottom w:val="nil"/>
              <w:right w:val="nil"/>
            </w:tcBorders>
            <w:shd w:val="clear" w:color="auto" w:fill="auto"/>
            <w:noWrap/>
            <w:vAlign w:val="center"/>
          </w:tcPr>
          <w:p w14:paraId="0D4A36B4" w14:textId="77777777" w:rsidR="0065555D" w:rsidRDefault="0065555D" w:rsidP="00FB3903">
            <w:pPr>
              <w:spacing w:line="240" w:lineRule="auto"/>
              <w:jc w:val="center"/>
              <w:rPr>
                <w:sz w:val="20"/>
                <w:szCs w:val="20"/>
              </w:rPr>
            </w:pPr>
            <w:r>
              <w:rPr>
                <w:sz w:val="20"/>
                <w:szCs w:val="20"/>
              </w:rPr>
              <w:t>17.17</w:t>
            </w:r>
          </w:p>
        </w:tc>
        <w:tc>
          <w:tcPr>
            <w:tcW w:w="0" w:type="auto"/>
            <w:tcBorders>
              <w:top w:val="nil"/>
              <w:left w:val="nil"/>
              <w:bottom w:val="nil"/>
              <w:right w:val="nil"/>
            </w:tcBorders>
            <w:shd w:val="clear" w:color="auto" w:fill="auto"/>
            <w:noWrap/>
            <w:vAlign w:val="center"/>
          </w:tcPr>
          <w:p w14:paraId="73216025" w14:textId="77777777" w:rsidR="0065555D" w:rsidRDefault="0065555D" w:rsidP="00FB3903">
            <w:pPr>
              <w:spacing w:line="240" w:lineRule="auto"/>
              <w:jc w:val="center"/>
              <w:rPr>
                <w:sz w:val="20"/>
                <w:szCs w:val="20"/>
              </w:rPr>
            </w:pPr>
            <w:r>
              <w:rPr>
                <w:sz w:val="20"/>
                <w:szCs w:val="20"/>
              </w:rPr>
              <w:t>10.11</w:t>
            </w:r>
          </w:p>
        </w:tc>
      </w:tr>
      <w:tr w:rsidR="0065555D" w:rsidRPr="00871CAF" w14:paraId="16045CEA" w14:textId="77777777" w:rsidTr="007049D5">
        <w:trPr>
          <w:trHeight w:val="264"/>
          <w:jc w:val="center"/>
        </w:trPr>
        <w:tc>
          <w:tcPr>
            <w:tcW w:w="0" w:type="auto"/>
            <w:tcBorders>
              <w:top w:val="nil"/>
              <w:left w:val="nil"/>
              <w:bottom w:val="single" w:sz="4" w:space="0" w:color="auto"/>
              <w:right w:val="nil"/>
            </w:tcBorders>
            <w:vAlign w:val="center"/>
          </w:tcPr>
          <w:p w14:paraId="56FDB447" w14:textId="77777777" w:rsidR="0065555D" w:rsidRPr="00871CAF"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6</w:t>
            </w:r>
          </w:p>
        </w:tc>
        <w:tc>
          <w:tcPr>
            <w:tcW w:w="0" w:type="auto"/>
            <w:tcBorders>
              <w:top w:val="nil"/>
              <w:left w:val="nil"/>
              <w:bottom w:val="single" w:sz="4" w:space="0" w:color="auto"/>
              <w:right w:val="nil"/>
            </w:tcBorders>
            <w:shd w:val="clear" w:color="auto" w:fill="auto"/>
            <w:noWrap/>
            <w:vAlign w:val="center"/>
            <w:hideMark/>
          </w:tcPr>
          <w:p w14:paraId="5DF9DB43" w14:textId="77777777" w:rsidR="0065555D" w:rsidRPr="00871CAF"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L1% = 100</w:t>
            </w:r>
          </w:p>
        </w:tc>
        <w:tc>
          <w:tcPr>
            <w:tcW w:w="0" w:type="auto"/>
            <w:tcBorders>
              <w:top w:val="nil"/>
              <w:left w:val="nil"/>
              <w:bottom w:val="single" w:sz="4" w:space="0" w:color="auto"/>
              <w:right w:val="nil"/>
            </w:tcBorders>
            <w:shd w:val="clear" w:color="auto" w:fill="auto"/>
            <w:noWrap/>
            <w:vAlign w:val="center"/>
          </w:tcPr>
          <w:p w14:paraId="555D8084" w14:textId="77777777" w:rsidR="0065555D" w:rsidRPr="00871CAF" w:rsidRDefault="0065555D" w:rsidP="00FB3903">
            <w:pPr>
              <w:spacing w:line="240" w:lineRule="auto"/>
              <w:jc w:val="center"/>
              <w:rPr>
                <w:rFonts w:eastAsia="MS Mincho" w:cs="Times New Roman"/>
                <w:sz w:val="20"/>
                <w:szCs w:val="20"/>
              </w:rPr>
            </w:pPr>
            <w:r w:rsidRPr="00871CAF">
              <w:rPr>
                <w:rFonts w:eastAsia="MS Mincho" w:cs="Times New Roman"/>
                <w:sz w:val="20"/>
                <w:szCs w:val="20"/>
              </w:rPr>
              <w:t>3,376</w:t>
            </w:r>
          </w:p>
        </w:tc>
        <w:tc>
          <w:tcPr>
            <w:tcW w:w="0" w:type="auto"/>
            <w:tcBorders>
              <w:top w:val="nil"/>
              <w:left w:val="nil"/>
              <w:bottom w:val="single" w:sz="4" w:space="0" w:color="auto"/>
              <w:right w:val="nil"/>
            </w:tcBorders>
            <w:shd w:val="clear" w:color="auto" w:fill="auto"/>
            <w:noWrap/>
            <w:vAlign w:val="center"/>
          </w:tcPr>
          <w:p w14:paraId="7F18265C" w14:textId="77777777" w:rsidR="0065555D" w:rsidRPr="00871CAF" w:rsidRDefault="0065555D" w:rsidP="00FB3903">
            <w:pPr>
              <w:spacing w:line="240" w:lineRule="auto"/>
              <w:jc w:val="center"/>
              <w:rPr>
                <w:rFonts w:eastAsia="MS Mincho" w:cs="Times New Roman"/>
                <w:sz w:val="20"/>
                <w:szCs w:val="20"/>
              </w:rPr>
            </w:pPr>
            <w:r w:rsidRPr="00871CAF">
              <w:rPr>
                <w:rFonts w:eastAsia="MS Mincho" w:cs="Times New Roman"/>
                <w:sz w:val="20"/>
                <w:szCs w:val="20"/>
              </w:rPr>
              <w:t>17.94</w:t>
            </w:r>
          </w:p>
        </w:tc>
        <w:tc>
          <w:tcPr>
            <w:tcW w:w="0" w:type="auto"/>
            <w:tcBorders>
              <w:top w:val="nil"/>
              <w:left w:val="nil"/>
              <w:bottom w:val="single" w:sz="4" w:space="0" w:color="auto"/>
              <w:right w:val="nil"/>
            </w:tcBorders>
            <w:shd w:val="clear" w:color="auto" w:fill="auto"/>
            <w:noWrap/>
            <w:vAlign w:val="center"/>
          </w:tcPr>
          <w:p w14:paraId="5C849287" w14:textId="77777777" w:rsidR="0065555D" w:rsidRDefault="0065555D" w:rsidP="00FB3903">
            <w:pPr>
              <w:spacing w:line="240" w:lineRule="auto"/>
              <w:jc w:val="center"/>
              <w:rPr>
                <w:sz w:val="20"/>
                <w:szCs w:val="20"/>
              </w:rPr>
            </w:pPr>
            <w:r>
              <w:rPr>
                <w:sz w:val="20"/>
                <w:szCs w:val="20"/>
              </w:rPr>
              <w:t>1.5054</w:t>
            </w:r>
          </w:p>
        </w:tc>
        <w:tc>
          <w:tcPr>
            <w:tcW w:w="0" w:type="auto"/>
            <w:tcBorders>
              <w:top w:val="nil"/>
              <w:left w:val="nil"/>
              <w:bottom w:val="single" w:sz="4" w:space="0" w:color="auto"/>
              <w:right w:val="nil"/>
            </w:tcBorders>
            <w:vAlign w:val="center"/>
          </w:tcPr>
          <w:p w14:paraId="64F62FAA" w14:textId="77777777" w:rsidR="0065555D" w:rsidRDefault="0065555D" w:rsidP="00FB3903">
            <w:pPr>
              <w:spacing w:line="240" w:lineRule="auto"/>
              <w:jc w:val="center"/>
              <w:rPr>
                <w:sz w:val="20"/>
                <w:szCs w:val="20"/>
              </w:rPr>
            </w:pPr>
            <w:r>
              <w:rPr>
                <w:sz w:val="20"/>
                <w:szCs w:val="20"/>
              </w:rPr>
              <w:t>100.00</w:t>
            </w:r>
          </w:p>
        </w:tc>
        <w:tc>
          <w:tcPr>
            <w:tcW w:w="0" w:type="auto"/>
            <w:tcBorders>
              <w:top w:val="nil"/>
              <w:left w:val="nil"/>
              <w:bottom w:val="single" w:sz="4" w:space="0" w:color="auto"/>
              <w:right w:val="nil"/>
            </w:tcBorders>
            <w:vAlign w:val="center"/>
          </w:tcPr>
          <w:p w14:paraId="538F78CE" w14:textId="77777777" w:rsidR="0065555D" w:rsidRDefault="0065555D" w:rsidP="00FB3903">
            <w:pPr>
              <w:spacing w:line="240" w:lineRule="auto"/>
              <w:jc w:val="center"/>
              <w:rPr>
                <w:sz w:val="20"/>
                <w:szCs w:val="20"/>
              </w:rPr>
            </w:pPr>
            <w:r>
              <w:rPr>
                <w:sz w:val="20"/>
                <w:szCs w:val="20"/>
              </w:rPr>
              <w:t>0.23</w:t>
            </w:r>
          </w:p>
        </w:tc>
        <w:tc>
          <w:tcPr>
            <w:tcW w:w="0" w:type="auto"/>
            <w:tcBorders>
              <w:top w:val="nil"/>
              <w:left w:val="nil"/>
              <w:bottom w:val="single" w:sz="4" w:space="0" w:color="auto"/>
              <w:right w:val="nil"/>
            </w:tcBorders>
            <w:shd w:val="clear" w:color="auto" w:fill="auto"/>
            <w:noWrap/>
            <w:vAlign w:val="center"/>
          </w:tcPr>
          <w:p w14:paraId="421A4DD4" w14:textId="77777777" w:rsidR="0065555D" w:rsidRDefault="0065555D" w:rsidP="00FB3903">
            <w:pPr>
              <w:spacing w:line="240" w:lineRule="auto"/>
              <w:jc w:val="center"/>
              <w:rPr>
                <w:sz w:val="20"/>
                <w:szCs w:val="20"/>
              </w:rPr>
            </w:pPr>
            <w:r>
              <w:rPr>
                <w:sz w:val="20"/>
                <w:szCs w:val="20"/>
              </w:rPr>
              <w:t>6.31</w:t>
            </w:r>
          </w:p>
        </w:tc>
        <w:tc>
          <w:tcPr>
            <w:tcW w:w="0" w:type="auto"/>
            <w:tcBorders>
              <w:top w:val="nil"/>
              <w:left w:val="nil"/>
              <w:bottom w:val="single" w:sz="4" w:space="0" w:color="auto"/>
              <w:right w:val="nil"/>
            </w:tcBorders>
            <w:vAlign w:val="center"/>
          </w:tcPr>
          <w:p w14:paraId="06289370" w14:textId="77777777" w:rsidR="0065555D" w:rsidRDefault="0065555D" w:rsidP="00FB3903">
            <w:pPr>
              <w:spacing w:line="240" w:lineRule="auto"/>
              <w:jc w:val="center"/>
              <w:rPr>
                <w:sz w:val="20"/>
                <w:szCs w:val="20"/>
              </w:rPr>
            </w:pPr>
            <w:r>
              <w:rPr>
                <w:sz w:val="20"/>
                <w:szCs w:val="20"/>
              </w:rPr>
              <w:t>3.24</w:t>
            </w:r>
          </w:p>
        </w:tc>
        <w:tc>
          <w:tcPr>
            <w:tcW w:w="0" w:type="auto"/>
            <w:tcBorders>
              <w:top w:val="nil"/>
              <w:left w:val="nil"/>
              <w:bottom w:val="single" w:sz="4" w:space="0" w:color="auto"/>
              <w:right w:val="nil"/>
            </w:tcBorders>
            <w:shd w:val="clear" w:color="auto" w:fill="auto"/>
            <w:noWrap/>
            <w:vAlign w:val="center"/>
          </w:tcPr>
          <w:p w14:paraId="5DACE5DC" w14:textId="77777777" w:rsidR="0065555D" w:rsidRDefault="0065555D" w:rsidP="00FB3903">
            <w:pPr>
              <w:spacing w:line="240" w:lineRule="auto"/>
              <w:jc w:val="center"/>
              <w:rPr>
                <w:sz w:val="20"/>
                <w:szCs w:val="20"/>
              </w:rPr>
            </w:pPr>
            <w:r>
              <w:rPr>
                <w:sz w:val="20"/>
                <w:szCs w:val="20"/>
              </w:rPr>
              <w:t>0.67</w:t>
            </w:r>
          </w:p>
        </w:tc>
        <w:tc>
          <w:tcPr>
            <w:tcW w:w="0" w:type="auto"/>
            <w:tcBorders>
              <w:top w:val="nil"/>
              <w:left w:val="nil"/>
              <w:bottom w:val="single" w:sz="4" w:space="0" w:color="auto"/>
              <w:right w:val="nil"/>
            </w:tcBorders>
            <w:shd w:val="clear" w:color="auto" w:fill="auto"/>
            <w:noWrap/>
            <w:vAlign w:val="center"/>
          </w:tcPr>
          <w:p w14:paraId="4CFB0F46" w14:textId="77777777" w:rsidR="0065555D" w:rsidRDefault="0065555D" w:rsidP="00FB3903">
            <w:pPr>
              <w:spacing w:line="240" w:lineRule="auto"/>
              <w:jc w:val="center"/>
              <w:rPr>
                <w:sz w:val="20"/>
                <w:szCs w:val="20"/>
              </w:rPr>
            </w:pPr>
            <w:r>
              <w:rPr>
                <w:sz w:val="20"/>
                <w:szCs w:val="20"/>
              </w:rPr>
              <w:t>0.0720</w:t>
            </w:r>
          </w:p>
        </w:tc>
        <w:tc>
          <w:tcPr>
            <w:tcW w:w="0" w:type="auto"/>
            <w:tcBorders>
              <w:top w:val="nil"/>
              <w:left w:val="nil"/>
              <w:bottom w:val="single" w:sz="4" w:space="0" w:color="auto"/>
              <w:right w:val="nil"/>
            </w:tcBorders>
            <w:shd w:val="clear" w:color="auto" w:fill="auto"/>
            <w:noWrap/>
            <w:vAlign w:val="center"/>
          </w:tcPr>
          <w:p w14:paraId="5685CEEA" w14:textId="77777777" w:rsidR="0065555D" w:rsidRDefault="0065555D" w:rsidP="00FB3903">
            <w:pPr>
              <w:spacing w:line="240" w:lineRule="auto"/>
              <w:jc w:val="center"/>
              <w:rPr>
                <w:sz w:val="20"/>
                <w:szCs w:val="20"/>
              </w:rPr>
            </w:pPr>
            <w:r>
              <w:rPr>
                <w:sz w:val="20"/>
                <w:szCs w:val="20"/>
              </w:rPr>
              <w:t>0.20</w:t>
            </w:r>
          </w:p>
        </w:tc>
        <w:tc>
          <w:tcPr>
            <w:tcW w:w="0" w:type="auto"/>
            <w:tcBorders>
              <w:top w:val="nil"/>
              <w:left w:val="nil"/>
              <w:bottom w:val="single" w:sz="4" w:space="0" w:color="auto"/>
              <w:right w:val="nil"/>
            </w:tcBorders>
            <w:shd w:val="clear" w:color="auto" w:fill="auto"/>
            <w:noWrap/>
            <w:vAlign w:val="center"/>
          </w:tcPr>
          <w:p w14:paraId="665FC2B8" w14:textId="77777777" w:rsidR="0065555D" w:rsidRDefault="0065555D" w:rsidP="00FB3903">
            <w:pPr>
              <w:spacing w:line="240" w:lineRule="auto"/>
              <w:jc w:val="center"/>
              <w:rPr>
                <w:sz w:val="20"/>
                <w:szCs w:val="20"/>
              </w:rPr>
            </w:pPr>
            <w:r>
              <w:rPr>
                <w:sz w:val="20"/>
                <w:szCs w:val="20"/>
              </w:rPr>
              <w:t>99.97</w:t>
            </w:r>
          </w:p>
        </w:tc>
        <w:tc>
          <w:tcPr>
            <w:tcW w:w="0" w:type="auto"/>
            <w:tcBorders>
              <w:top w:val="nil"/>
              <w:left w:val="nil"/>
              <w:bottom w:val="single" w:sz="4" w:space="0" w:color="auto"/>
              <w:right w:val="nil"/>
            </w:tcBorders>
            <w:shd w:val="clear" w:color="auto" w:fill="auto"/>
            <w:noWrap/>
            <w:vAlign w:val="center"/>
          </w:tcPr>
          <w:p w14:paraId="02BDF346" w14:textId="77777777" w:rsidR="0065555D" w:rsidRDefault="0065555D" w:rsidP="00FB3903">
            <w:pPr>
              <w:spacing w:line="240" w:lineRule="auto"/>
              <w:jc w:val="center"/>
              <w:rPr>
                <w:sz w:val="20"/>
                <w:szCs w:val="20"/>
              </w:rPr>
            </w:pPr>
            <w:r>
              <w:rPr>
                <w:sz w:val="20"/>
                <w:szCs w:val="20"/>
              </w:rPr>
              <w:t>11.96</w:t>
            </w:r>
          </w:p>
        </w:tc>
        <w:tc>
          <w:tcPr>
            <w:tcW w:w="0" w:type="auto"/>
            <w:tcBorders>
              <w:top w:val="nil"/>
              <w:left w:val="nil"/>
              <w:bottom w:val="single" w:sz="4" w:space="0" w:color="auto"/>
              <w:right w:val="nil"/>
            </w:tcBorders>
            <w:shd w:val="clear" w:color="auto" w:fill="auto"/>
            <w:noWrap/>
            <w:vAlign w:val="center"/>
          </w:tcPr>
          <w:p w14:paraId="4C2A8385" w14:textId="77777777" w:rsidR="0065555D" w:rsidRDefault="0065555D" w:rsidP="00FB3903">
            <w:pPr>
              <w:spacing w:line="240" w:lineRule="auto"/>
              <w:jc w:val="center"/>
              <w:rPr>
                <w:sz w:val="20"/>
                <w:szCs w:val="20"/>
              </w:rPr>
            </w:pPr>
            <w:r>
              <w:rPr>
                <w:sz w:val="20"/>
                <w:szCs w:val="20"/>
              </w:rPr>
              <w:t>10.36</w:t>
            </w:r>
          </w:p>
        </w:tc>
      </w:tr>
      <w:tr w:rsidR="0065555D" w:rsidRPr="00871CAF" w14:paraId="702CF819" w14:textId="77777777" w:rsidTr="007049D5">
        <w:trPr>
          <w:trHeight w:val="264"/>
          <w:jc w:val="center"/>
        </w:trPr>
        <w:tc>
          <w:tcPr>
            <w:tcW w:w="0" w:type="auto"/>
            <w:tcBorders>
              <w:top w:val="single" w:sz="4" w:space="0" w:color="auto"/>
              <w:left w:val="nil"/>
              <w:bottom w:val="single" w:sz="4" w:space="0" w:color="auto"/>
              <w:right w:val="nil"/>
            </w:tcBorders>
            <w:vAlign w:val="center"/>
          </w:tcPr>
          <w:p w14:paraId="406D2E16" w14:textId="77777777" w:rsidR="0065555D" w:rsidRPr="00871CAF"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All</w:t>
            </w:r>
          </w:p>
        </w:tc>
        <w:tc>
          <w:tcPr>
            <w:tcW w:w="0" w:type="auto"/>
            <w:tcBorders>
              <w:top w:val="single" w:sz="4" w:space="0" w:color="auto"/>
              <w:left w:val="nil"/>
              <w:bottom w:val="single" w:sz="4" w:space="0" w:color="auto"/>
              <w:right w:val="nil"/>
            </w:tcBorders>
            <w:shd w:val="clear" w:color="auto" w:fill="auto"/>
            <w:noWrap/>
            <w:vAlign w:val="center"/>
          </w:tcPr>
          <w:p w14:paraId="378DDADC" w14:textId="77777777" w:rsidR="0065555D" w:rsidRPr="00871CAF" w:rsidRDefault="0065555D" w:rsidP="00FB3903">
            <w:pPr>
              <w:spacing w:after="0" w:line="240" w:lineRule="auto"/>
              <w:jc w:val="center"/>
              <w:rPr>
                <w:rFonts w:eastAsia="Times New Roman" w:cs="Times New Roman"/>
                <w:color w:val="000000"/>
                <w:sz w:val="20"/>
                <w:szCs w:val="20"/>
              </w:rPr>
            </w:pPr>
            <w:r w:rsidRPr="00871CAF">
              <w:rPr>
                <w:rFonts w:eastAsia="Times New Roman" w:cs="Times New Roman"/>
                <w:color w:val="000000"/>
                <w:sz w:val="20"/>
                <w:szCs w:val="20"/>
              </w:rPr>
              <w:t>0≤ L1% ≤ 100</w:t>
            </w:r>
          </w:p>
        </w:tc>
        <w:tc>
          <w:tcPr>
            <w:tcW w:w="0" w:type="auto"/>
            <w:tcBorders>
              <w:top w:val="single" w:sz="4" w:space="0" w:color="auto"/>
              <w:left w:val="nil"/>
              <w:bottom w:val="single" w:sz="4" w:space="0" w:color="auto"/>
              <w:right w:val="nil"/>
            </w:tcBorders>
            <w:shd w:val="clear" w:color="auto" w:fill="auto"/>
            <w:noWrap/>
            <w:vAlign w:val="center"/>
          </w:tcPr>
          <w:p w14:paraId="5811EDBB" w14:textId="77777777" w:rsidR="0065555D" w:rsidRPr="00871CAF" w:rsidRDefault="0065555D" w:rsidP="00FB3903">
            <w:pPr>
              <w:spacing w:line="240" w:lineRule="auto"/>
              <w:jc w:val="center"/>
              <w:rPr>
                <w:rFonts w:eastAsia="MS Mincho" w:cs="Times New Roman"/>
                <w:sz w:val="20"/>
                <w:szCs w:val="20"/>
              </w:rPr>
            </w:pPr>
            <w:r w:rsidRPr="00871CAF">
              <w:rPr>
                <w:rFonts w:eastAsia="MS Mincho" w:cs="Times New Roman"/>
                <w:sz w:val="20"/>
                <w:szCs w:val="20"/>
              </w:rPr>
              <w:t>18,815</w:t>
            </w:r>
          </w:p>
        </w:tc>
        <w:tc>
          <w:tcPr>
            <w:tcW w:w="0" w:type="auto"/>
            <w:tcBorders>
              <w:top w:val="single" w:sz="4" w:space="0" w:color="auto"/>
              <w:left w:val="nil"/>
              <w:bottom w:val="single" w:sz="4" w:space="0" w:color="auto"/>
              <w:right w:val="nil"/>
            </w:tcBorders>
            <w:shd w:val="clear" w:color="auto" w:fill="auto"/>
            <w:noWrap/>
            <w:vAlign w:val="center"/>
          </w:tcPr>
          <w:p w14:paraId="42DA0789" w14:textId="77777777" w:rsidR="0065555D" w:rsidRPr="00871CAF" w:rsidRDefault="0065555D" w:rsidP="00FB3903">
            <w:pPr>
              <w:spacing w:line="240" w:lineRule="auto"/>
              <w:jc w:val="center"/>
              <w:rPr>
                <w:rFonts w:eastAsia="MS Mincho" w:cs="Times New Roman"/>
                <w:sz w:val="20"/>
                <w:szCs w:val="20"/>
              </w:rPr>
            </w:pPr>
            <w:r w:rsidRPr="00871CAF">
              <w:rPr>
                <w:rFonts w:eastAsia="MS Mincho" w:cs="Times New Roman"/>
                <w:sz w:val="20"/>
                <w:szCs w:val="20"/>
              </w:rPr>
              <w:t>100.00</w:t>
            </w:r>
          </w:p>
        </w:tc>
        <w:tc>
          <w:tcPr>
            <w:tcW w:w="0" w:type="auto"/>
            <w:tcBorders>
              <w:top w:val="single" w:sz="4" w:space="0" w:color="auto"/>
              <w:left w:val="nil"/>
              <w:bottom w:val="single" w:sz="4" w:space="0" w:color="auto"/>
              <w:right w:val="nil"/>
            </w:tcBorders>
            <w:shd w:val="clear" w:color="auto" w:fill="auto"/>
            <w:noWrap/>
            <w:vAlign w:val="center"/>
          </w:tcPr>
          <w:p w14:paraId="415FDC20" w14:textId="77777777" w:rsidR="0065555D" w:rsidRDefault="0065555D" w:rsidP="00FB3903">
            <w:pPr>
              <w:spacing w:line="240" w:lineRule="auto"/>
              <w:jc w:val="center"/>
              <w:rPr>
                <w:sz w:val="20"/>
                <w:szCs w:val="20"/>
              </w:rPr>
            </w:pPr>
            <w:r>
              <w:rPr>
                <w:sz w:val="20"/>
                <w:szCs w:val="20"/>
              </w:rPr>
              <w:t>1.5460</w:t>
            </w:r>
          </w:p>
        </w:tc>
        <w:tc>
          <w:tcPr>
            <w:tcW w:w="0" w:type="auto"/>
            <w:tcBorders>
              <w:top w:val="single" w:sz="4" w:space="0" w:color="auto"/>
              <w:left w:val="nil"/>
              <w:bottom w:val="single" w:sz="4" w:space="0" w:color="auto"/>
              <w:right w:val="nil"/>
            </w:tcBorders>
            <w:vAlign w:val="center"/>
          </w:tcPr>
          <w:p w14:paraId="158C8ACC" w14:textId="77777777" w:rsidR="0065555D" w:rsidRDefault="0065555D" w:rsidP="00FB3903">
            <w:pPr>
              <w:spacing w:line="240" w:lineRule="auto"/>
              <w:jc w:val="center"/>
              <w:rPr>
                <w:sz w:val="20"/>
                <w:szCs w:val="20"/>
              </w:rPr>
            </w:pPr>
            <w:r>
              <w:rPr>
                <w:sz w:val="20"/>
                <w:szCs w:val="20"/>
              </w:rPr>
              <w:t>46.55</w:t>
            </w:r>
          </w:p>
        </w:tc>
        <w:tc>
          <w:tcPr>
            <w:tcW w:w="0" w:type="auto"/>
            <w:tcBorders>
              <w:top w:val="single" w:sz="4" w:space="0" w:color="auto"/>
              <w:left w:val="nil"/>
              <w:bottom w:val="single" w:sz="4" w:space="0" w:color="auto"/>
              <w:right w:val="nil"/>
            </w:tcBorders>
            <w:vAlign w:val="center"/>
          </w:tcPr>
          <w:p w14:paraId="4BB57F69" w14:textId="77777777" w:rsidR="0065555D" w:rsidRDefault="0065555D" w:rsidP="00FB3903">
            <w:pPr>
              <w:spacing w:line="240" w:lineRule="auto"/>
              <w:jc w:val="center"/>
              <w:rPr>
                <w:sz w:val="20"/>
                <w:szCs w:val="20"/>
              </w:rPr>
            </w:pPr>
            <w:r>
              <w:rPr>
                <w:sz w:val="20"/>
                <w:szCs w:val="20"/>
              </w:rPr>
              <w:t>0.61</w:t>
            </w:r>
          </w:p>
        </w:tc>
        <w:tc>
          <w:tcPr>
            <w:tcW w:w="0" w:type="auto"/>
            <w:tcBorders>
              <w:top w:val="single" w:sz="4" w:space="0" w:color="auto"/>
              <w:left w:val="nil"/>
              <w:bottom w:val="single" w:sz="4" w:space="0" w:color="auto"/>
              <w:right w:val="nil"/>
            </w:tcBorders>
            <w:shd w:val="clear" w:color="auto" w:fill="auto"/>
            <w:noWrap/>
            <w:vAlign w:val="center"/>
          </w:tcPr>
          <w:p w14:paraId="0CE5CE0B" w14:textId="77777777" w:rsidR="0065555D" w:rsidRDefault="0065555D" w:rsidP="00FB3903">
            <w:pPr>
              <w:spacing w:line="240" w:lineRule="auto"/>
              <w:jc w:val="center"/>
              <w:rPr>
                <w:sz w:val="20"/>
                <w:szCs w:val="20"/>
              </w:rPr>
            </w:pPr>
            <w:r>
              <w:rPr>
                <w:sz w:val="20"/>
                <w:szCs w:val="20"/>
              </w:rPr>
              <w:t>15.80</w:t>
            </w:r>
          </w:p>
        </w:tc>
        <w:tc>
          <w:tcPr>
            <w:tcW w:w="0" w:type="auto"/>
            <w:tcBorders>
              <w:top w:val="single" w:sz="4" w:space="0" w:color="auto"/>
              <w:left w:val="nil"/>
              <w:bottom w:val="single" w:sz="4" w:space="0" w:color="auto"/>
              <w:right w:val="nil"/>
            </w:tcBorders>
            <w:vAlign w:val="center"/>
          </w:tcPr>
          <w:p w14:paraId="671E28E0" w14:textId="77777777" w:rsidR="0065555D" w:rsidRDefault="0065555D" w:rsidP="00FB3903">
            <w:pPr>
              <w:spacing w:line="240" w:lineRule="auto"/>
              <w:jc w:val="center"/>
              <w:rPr>
                <w:sz w:val="20"/>
                <w:szCs w:val="20"/>
              </w:rPr>
            </w:pPr>
            <w:r>
              <w:rPr>
                <w:sz w:val="20"/>
                <w:szCs w:val="20"/>
              </w:rPr>
              <w:t>8.12</w:t>
            </w:r>
          </w:p>
        </w:tc>
        <w:tc>
          <w:tcPr>
            <w:tcW w:w="0" w:type="auto"/>
            <w:tcBorders>
              <w:top w:val="single" w:sz="4" w:space="0" w:color="auto"/>
              <w:left w:val="nil"/>
              <w:bottom w:val="single" w:sz="4" w:space="0" w:color="auto"/>
              <w:right w:val="nil"/>
            </w:tcBorders>
            <w:shd w:val="clear" w:color="auto" w:fill="auto"/>
            <w:noWrap/>
            <w:vAlign w:val="center"/>
          </w:tcPr>
          <w:p w14:paraId="0B131203" w14:textId="77777777" w:rsidR="0065555D" w:rsidRDefault="0065555D" w:rsidP="00FB3903">
            <w:pPr>
              <w:spacing w:line="240" w:lineRule="auto"/>
              <w:jc w:val="center"/>
              <w:rPr>
                <w:sz w:val="20"/>
                <w:szCs w:val="20"/>
              </w:rPr>
            </w:pPr>
            <w:r>
              <w:rPr>
                <w:sz w:val="20"/>
                <w:szCs w:val="20"/>
              </w:rPr>
              <w:t>0.69</w:t>
            </w:r>
          </w:p>
        </w:tc>
        <w:tc>
          <w:tcPr>
            <w:tcW w:w="0" w:type="auto"/>
            <w:tcBorders>
              <w:top w:val="single" w:sz="4" w:space="0" w:color="auto"/>
              <w:left w:val="nil"/>
              <w:bottom w:val="single" w:sz="4" w:space="0" w:color="auto"/>
              <w:right w:val="nil"/>
            </w:tcBorders>
            <w:shd w:val="clear" w:color="auto" w:fill="auto"/>
            <w:noWrap/>
            <w:vAlign w:val="center"/>
          </w:tcPr>
          <w:p w14:paraId="75A6C17F" w14:textId="77777777" w:rsidR="0065555D" w:rsidRDefault="0065555D" w:rsidP="00FB3903">
            <w:pPr>
              <w:spacing w:line="240" w:lineRule="auto"/>
              <w:jc w:val="center"/>
              <w:rPr>
                <w:sz w:val="20"/>
                <w:szCs w:val="20"/>
              </w:rPr>
            </w:pPr>
            <w:r>
              <w:rPr>
                <w:sz w:val="20"/>
                <w:szCs w:val="20"/>
              </w:rPr>
              <w:t>0.0754</w:t>
            </w:r>
          </w:p>
        </w:tc>
        <w:tc>
          <w:tcPr>
            <w:tcW w:w="0" w:type="auto"/>
            <w:tcBorders>
              <w:top w:val="single" w:sz="4" w:space="0" w:color="auto"/>
              <w:left w:val="nil"/>
              <w:bottom w:val="single" w:sz="4" w:space="0" w:color="auto"/>
              <w:right w:val="nil"/>
            </w:tcBorders>
            <w:shd w:val="clear" w:color="auto" w:fill="auto"/>
            <w:noWrap/>
            <w:vAlign w:val="center"/>
          </w:tcPr>
          <w:p w14:paraId="195A1F1F" w14:textId="77777777" w:rsidR="0065555D" w:rsidRDefault="0065555D" w:rsidP="00FB3903">
            <w:pPr>
              <w:spacing w:line="240" w:lineRule="auto"/>
              <w:jc w:val="center"/>
              <w:rPr>
                <w:sz w:val="20"/>
                <w:szCs w:val="20"/>
              </w:rPr>
            </w:pPr>
            <w:r>
              <w:rPr>
                <w:sz w:val="20"/>
                <w:szCs w:val="20"/>
              </w:rPr>
              <w:t>0.16</w:t>
            </w:r>
          </w:p>
        </w:tc>
        <w:tc>
          <w:tcPr>
            <w:tcW w:w="0" w:type="auto"/>
            <w:tcBorders>
              <w:top w:val="single" w:sz="4" w:space="0" w:color="auto"/>
              <w:left w:val="nil"/>
              <w:bottom w:val="single" w:sz="4" w:space="0" w:color="auto"/>
              <w:right w:val="nil"/>
            </w:tcBorders>
            <w:shd w:val="clear" w:color="auto" w:fill="auto"/>
            <w:noWrap/>
            <w:vAlign w:val="center"/>
          </w:tcPr>
          <w:p w14:paraId="3168B703" w14:textId="77777777" w:rsidR="0065555D" w:rsidRDefault="0065555D" w:rsidP="00FB3903">
            <w:pPr>
              <w:spacing w:line="240" w:lineRule="auto"/>
              <w:jc w:val="center"/>
              <w:rPr>
                <w:sz w:val="20"/>
                <w:szCs w:val="20"/>
              </w:rPr>
            </w:pPr>
            <w:r>
              <w:rPr>
                <w:sz w:val="20"/>
                <w:szCs w:val="20"/>
              </w:rPr>
              <w:t>96.56</w:t>
            </w:r>
          </w:p>
        </w:tc>
        <w:tc>
          <w:tcPr>
            <w:tcW w:w="0" w:type="auto"/>
            <w:tcBorders>
              <w:top w:val="single" w:sz="4" w:space="0" w:color="auto"/>
              <w:left w:val="nil"/>
              <w:bottom w:val="single" w:sz="4" w:space="0" w:color="auto"/>
              <w:right w:val="nil"/>
            </w:tcBorders>
            <w:shd w:val="clear" w:color="auto" w:fill="auto"/>
            <w:noWrap/>
            <w:vAlign w:val="center"/>
          </w:tcPr>
          <w:p w14:paraId="1941C443" w14:textId="77777777" w:rsidR="0065555D" w:rsidRDefault="0065555D" w:rsidP="00FB3903">
            <w:pPr>
              <w:spacing w:line="240" w:lineRule="auto"/>
              <w:jc w:val="center"/>
              <w:rPr>
                <w:sz w:val="20"/>
                <w:szCs w:val="20"/>
              </w:rPr>
            </w:pPr>
            <w:r>
              <w:rPr>
                <w:sz w:val="20"/>
                <w:szCs w:val="20"/>
              </w:rPr>
              <w:t>17.64</w:t>
            </w:r>
          </w:p>
        </w:tc>
        <w:tc>
          <w:tcPr>
            <w:tcW w:w="0" w:type="auto"/>
            <w:tcBorders>
              <w:top w:val="single" w:sz="4" w:space="0" w:color="auto"/>
              <w:left w:val="nil"/>
              <w:bottom w:val="single" w:sz="4" w:space="0" w:color="auto"/>
              <w:right w:val="nil"/>
            </w:tcBorders>
            <w:shd w:val="clear" w:color="auto" w:fill="auto"/>
            <w:noWrap/>
            <w:vAlign w:val="center"/>
          </w:tcPr>
          <w:p w14:paraId="0B12ED79" w14:textId="77777777" w:rsidR="0065555D" w:rsidRDefault="0065555D" w:rsidP="00FB3903">
            <w:pPr>
              <w:spacing w:line="240" w:lineRule="auto"/>
              <w:jc w:val="center"/>
              <w:rPr>
                <w:sz w:val="20"/>
                <w:szCs w:val="20"/>
              </w:rPr>
            </w:pPr>
            <w:r>
              <w:rPr>
                <w:sz w:val="20"/>
                <w:szCs w:val="20"/>
              </w:rPr>
              <w:t>10.02</w:t>
            </w:r>
          </w:p>
        </w:tc>
      </w:tr>
    </w:tbl>
    <w:p w14:paraId="0836B951" w14:textId="77777777" w:rsidR="0065555D" w:rsidRDefault="0065555D" w:rsidP="00FB3903">
      <w:pPr>
        <w:spacing w:line="240" w:lineRule="auto"/>
        <w:rPr>
          <w:rFonts w:eastAsia="Times New Roman" w:cs="Times New Roman"/>
        </w:rPr>
      </w:pPr>
    </w:p>
    <w:p w14:paraId="367010FF" w14:textId="77777777" w:rsidR="0065555D" w:rsidRDefault="0065555D" w:rsidP="00FB3903">
      <w:pPr>
        <w:spacing w:line="240" w:lineRule="auto"/>
        <w:rPr>
          <w:rFonts w:eastAsia="Times New Roman" w:cs="Times New Roman"/>
        </w:rPr>
      </w:pPr>
    </w:p>
    <w:p w14:paraId="0448E5CD" w14:textId="77777777" w:rsidR="0065555D" w:rsidRDefault="0065555D" w:rsidP="00FB3903">
      <w:pPr>
        <w:spacing w:line="240" w:lineRule="auto"/>
        <w:rPr>
          <w:rFonts w:eastAsia="Times New Roman" w:cs="Times New Roman"/>
        </w:rPr>
      </w:pPr>
    </w:p>
    <w:p w14:paraId="7BA490CF" w14:textId="77777777" w:rsidR="0065555D" w:rsidRPr="008C73FB" w:rsidRDefault="0065555D" w:rsidP="00FB3903">
      <w:pPr>
        <w:spacing w:line="240" w:lineRule="auto"/>
        <w:rPr>
          <w:rFonts w:eastAsia="Times New Roman" w:cs="Times New Roman"/>
        </w:rPr>
      </w:pPr>
    </w:p>
    <w:p w14:paraId="73543CE6" w14:textId="77777777" w:rsidR="0065555D" w:rsidRPr="008C73FB" w:rsidRDefault="0065555D" w:rsidP="00FB3903">
      <w:pPr>
        <w:spacing w:line="240" w:lineRule="auto"/>
        <w:jc w:val="center"/>
        <w:rPr>
          <w:rFonts w:eastAsia="Times New Roman" w:cs="Times New Roman"/>
        </w:rPr>
      </w:pPr>
    </w:p>
    <w:p w14:paraId="01B12C62" w14:textId="77777777" w:rsidR="0065555D" w:rsidRPr="008C73FB" w:rsidRDefault="0065555D" w:rsidP="00FB3903">
      <w:pPr>
        <w:spacing w:line="240" w:lineRule="auto"/>
        <w:rPr>
          <w:rFonts w:eastAsia="Times New Roman" w:cs="Times New Roman"/>
        </w:rPr>
      </w:pPr>
    </w:p>
    <w:p w14:paraId="05006394" w14:textId="77777777" w:rsidR="0065555D" w:rsidRPr="008C73FB" w:rsidRDefault="0065555D" w:rsidP="00FB3903">
      <w:pPr>
        <w:spacing w:line="240" w:lineRule="auto"/>
        <w:rPr>
          <w:rFonts w:eastAsia="Times New Roman" w:cs="Times New Roman"/>
        </w:rPr>
      </w:pPr>
    </w:p>
    <w:p w14:paraId="7AF8CC2D" w14:textId="77777777" w:rsidR="0065555D" w:rsidRPr="008C73FB" w:rsidRDefault="0065555D" w:rsidP="00FB3903">
      <w:pPr>
        <w:spacing w:line="240" w:lineRule="auto"/>
        <w:rPr>
          <w:rFonts w:eastAsia="Times New Roman" w:cs="Times New Roman"/>
        </w:rPr>
        <w:sectPr w:rsidR="0065555D" w:rsidRPr="008C73FB" w:rsidSect="00FB3903">
          <w:pgSz w:w="15840" w:h="12240" w:orient="landscape"/>
          <w:pgMar w:top="1440" w:right="1440" w:bottom="1440" w:left="1440" w:header="720" w:footer="720" w:gutter="0"/>
          <w:cols w:space="720"/>
          <w:docGrid w:linePitch="360"/>
        </w:sectPr>
      </w:pPr>
    </w:p>
    <w:p w14:paraId="35BDE003" w14:textId="77777777" w:rsidR="0065555D" w:rsidRPr="008C73FB" w:rsidRDefault="0065555D" w:rsidP="00FB3903">
      <w:pPr>
        <w:spacing w:after="0" w:line="240" w:lineRule="auto"/>
        <w:rPr>
          <w:rFonts w:eastAsia="Times New Roman" w:cs="Times New Roman"/>
          <w:bCs/>
          <w:szCs w:val="18"/>
        </w:rPr>
      </w:pPr>
      <w:bookmarkStart w:id="3" w:name="_Ref398114446"/>
      <w:r w:rsidRPr="008C73FB">
        <w:rPr>
          <w:rFonts w:eastAsia="Times New Roman" w:cs="Times New Roman"/>
          <w:bCs/>
          <w:szCs w:val="18"/>
        </w:rPr>
        <w:t xml:space="preserve">Table </w:t>
      </w:r>
      <w:r>
        <w:rPr>
          <w:rFonts w:eastAsia="Times New Roman" w:cs="Times New Roman"/>
          <w:bCs/>
          <w:noProof/>
          <w:szCs w:val="18"/>
        </w:rPr>
        <w:t>2</w:t>
      </w:r>
      <w:bookmarkEnd w:id="3"/>
      <w:r w:rsidRPr="008C73FB">
        <w:rPr>
          <w:rFonts w:eastAsia="Times New Roman" w:cs="Times New Roman"/>
          <w:bCs/>
          <w:szCs w:val="18"/>
        </w:rPr>
        <w:t>: Variables used to Model Commercial Mortgage Spreads</w:t>
      </w:r>
    </w:p>
    <w:p w14:paraId="50479F97" w14:textId="77777777" w:rsidR="0065555D" w:rsidRPr="008C73FB" w:rsidRDefault="0065555D" w:rsidP="00FB3903">
      <w:pPr>
        <w:spacing w:line="240" w:lineRule="auto"/>
        <w:rPr>
          <w:rFonts w:eastAsia="Times New Roman" w:cs="Times New Roman"/>
        </w:rPr>
      </w:pPr>
      <w:r w:rsidRPr="008C73FB">
        <w:rPr>
          <w:rFonts w:eastAsia="Times New Roman" w:cs="Times New Roman"/>
        </w:rPr>
        <w:t>The variables used to explain commercial mortgage spreads are explained in the table below.</w:t>
      </w:r>
    </w:p>
    <w:p w14:paraId="66C24F27" w14:textId="77777777" w:rsidR="0065555D" w:rsidRPr="008C73FB" w:rsidRDefault="0065555D" w:rsidP="00FB3903">
      <w:pPr>
        <w:spacing w:line="240" w:lineRule="auto"/>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28"/>
        <w:gridCol w:w="7062"/>
      </w:tblGrid>
      <w:tr w:rsidR="0065555D" w:rsidRPr="008A03D2" w14:paraId="4A567F52" w14:textId="77777777" w:rsidTr="007049D5">
        <w:trPr>
          <w:trHeight w:val="288"/>
        </w:trPr>
        <w:tc>
          <w:tcPr>
            <w:tcW w:w="0" w:type="auto"/>
            <w:shd w:val="clear" w:color="auto" w:fill="auto"/>
            <w:noWrap/>
            <w:vAlign w:val="center"/>
          </w:tcPr>
          <w:p w14:paraId="47636934" w14:textId="77777777" w:rsidR="0065555D" w:rsidRPr="008A03D2" w:rsidRDefault="0065555D" w:rsidP="00FB3903">
            <w:pPr>
              <w:spacing w:after="0" w:line="240" w:lineRule="auto"/>
              <w:rPr>
                <w:rFonts w:eastAsia="Times New Roman" w:cs="Times New Roman"/>
                <w:color w:val="000000"/>
                <w:sz w:val="22"/>
              </w:rPr>
            </w:pPr>
            <w:r w:rsidRPr="008A03D2">
              <w:rPr>
                <w:rFonts w:eastAsia="Times New Roman" w:cs="Times New Roman"/>
                <w:color w:val="000000"/>
                <w:sz w:val="22"/>
              </w:rPr>
              <w:t>Variable</w:t>
            </w:r>
          </w:p>
        </w:tc>
        <w:tc>
          <w:tcPr>
            <w:tcW w:w="0" w:type="auto"/>
            <w:vAlign w:val="center"/>
          </w:tcPr>
          <w:p w14:paraId="4BC7C828" w14:textId="77777777" w:rsidR="0065555D" w:rsidRPr="008A03D2" w:rsidRDefault="0065555D" w:rsidP="007049D5">
            <w:pPr>
              <w:spacing w:after="0" w:line="240" w:lineRule="auto"/>
              <w:rPr>
                <w:rFonts w:eastAsia="Times New Roman" w:cs="Times New Roman"/>
                <w:color w:val="000000"/>
                <w:sz w:val="22"/>
              </w:rPr>
            </w:pPr>
            <w:r w:rsidRPr="008A03D2">
              <w:rPr>
                <w:rFonts w:eastAsia="Times New Roman" w:cs="Times New Roman"/>
                <w:color w:val="000000"/>
                <w:sz w:val="22"/>
              </w:rPr>
              <w:t>Meaning</w:t>
            </w:r>
          </w:p>
        </w:tc>
      </w:tr>
      <w:tr w:rsidR="0065555D" w:rsidRPr="008A03D2" w14:paraId="724892B0" w14:textId="77777777" w:rsidTr="007049D5">
        <w:trPr>
          <w:trHeight w:val="576"/>
        </w:trPr>
        <w:tc>
          <w:tcPr>
            <w:tcW w:w="0" w:type="auto"/>
            <w:shd w:val="clear" w:color="auto" w:fill="auto"/>
            <w:noWrap/>
            <w:vAlign w:val="center"/>
          </w:tcPr>
          <w:p w14:paraId="735F4FFE" w14:textId="77777777" w:rsidR="0065555D" w:rsidRPr="008A03D2" w:rsidRDefault="0065555D" w:rsidP="00FB3903">
            <w:pPr>
              <w:spacing w:after="0" w:line="240" w:lineRule="auto"/>
              <w:rPr>
                <w:rFonts w:eastAsia="Times New Roman" w:cs="Times New Roman"/>
                <w:color w:val="000000"/>
                <w:sz w:val="22"/>
              </w:rPr>
            </w:pPr>
            <w:r w:rsidRPr="008A03D2">
              <w:rPr>
                <w:rFonts w:eastAsia="Times New Roman" w:cs="Times New Roman"/>
                <w:color w:val="000000"/>
                <w:sz w:val="22"/>
              </w:rPr>
              <w:t>Spread (%)</w:t>
            </w:r>
          </w:p>
        </w:tc>
        <w:tc>
          <w:tcPr>
            <w:tcW w:w="0" w:type="auto"/>
            <w:vAlign w:val="center"/>
          </w:tcPr>
          <w:p w14:paraId="2A8CAFFF" w14:textId="77777777" w:rsidR="0065555D" w:rsidRPr="008A03D2" w:rsidRDefault="0065555D" w:rsidP="007049D5">
            <w:pPr>
              <w:spacing w:after="0" w:line="240" w:lineRule="auto"/>
              <w:rPr>
                <w:rFonts w:eastAsia="Times New Roman" w:cs="Times New Roman"/>
                <w:color w:val="000000"/>
                <w:sz w:val="22"/>
              </w:rPr>
            </w:pPr>
            <w:r w:rsidRPr="008A03D2">
              <w:rPr>
                <w:rFonts w:eastAsia="Times New Roman" w:cs="Times New Roman"/>
                <w:color w:val="000000"/>
                <w:sz w:val="22"/>
              </w:rPr>
              <w:t>The difference between the interest rate on the mortgage and the rate on a maturity matched Treasury bond, expressed as a percentage.</w:t>
            </w:r>
          </w:p>
        </w:tc>
      </w:tr>
      <w:tr w:rsidR="0065555D" w:rsidRPr="008A03D2" w14:paraId="641D4F4E" w14:textId="77777777" w:rsidTr="007049D5">
        <w:trPr>
          <w:trHeight w:val="576"/>
        </w:trPr>
        <w:tc>
          <w:tcPr>
            <w:tcW w:w="0" w:type="auto"/>
            <w:shd w:val="clear" w:color="auto" w:fill="auto"/>
            <w:noWrap/>
            <w:vAlign w:val="center"/>
            <w:hideMark/>
          </w:tcPr>
          <w:p w14:paraId="65306DF6" w14:textId="77777777" w:rsidR="0065555D" w:rsidRPr="008A03D2" w:rsidRDefault="0065555D" w:rsidP="00FB3903">
            <w:pPr>
              <w:spacing w:after="0" w:line="240" w:lineRule="auto"/>
              <w:rPr>
                <w:rFonts w:eastAsia="Times New Roman" w:cs="Times New Roman"/>
                <w:color w:val="000000"/>
                <w:sz w:val="22"/>
              </w:rPr>
            </w:pPr>
            <w:r w:rsidRPr="008A03D2">
              <w:rPr>
                <w:rFonts w:eastAsia="Times New Roman" w:cs="Times New Roman"/>
                <w:color w:val="000000"/>
                <w:sz w:val="22"/>
              </w:rPr>
              <w:t xml:space="preserve">D(L1 </w:t>
            </w:r>
            <w:r>
              <w:rPr>
                <w:rFonts w:eastAsia="Times New Roman" w:cs="Times New Roman"/>
                <w:color w:val="000000"/>
                <w:sz w:val="22"/>
              </w:rPr>
              <w:t>C</w:t>
            </w:r>
            <w:r w:rsidRPr="008A03D2">
              <w:rPr>
                <w:rFonts w:eastAsia="Times New Roman" w:cs="Times New Roman"/>
                <w:color w:val="000000"/>
                <w:sz w:val="22"/>
              </w:rPr>
              <w:t>ategory 1)</w:t>
            </w:r>
          </w:p>
        </w:tc>
        <w:tc>
          <w:tcPr>
            <w:tcW w:w="0" w:type="auto"/>
            <w:vAlign w:val="center"/>
          </w:tcPr>
          <w:p w14:paraId="0DF7524F" w14:textId="77777777" w:rsidR="0065555D" w:rsidRPr="008A03D2" w:rsidRDefault="0065555D" w:rsidP="007049D5">
            <w:pPr>
              <w:spacing w:after="0" w:line="240" w:lineRule="auto"/>
              <w:rPr>
                <w:rFonts w:eastAsia="Times New Roman" w:cs="Times New Roman"/>
                <w:color w:val="000000"/>
                <w:sz w:val="22"/>
              </w:rPr>
            </w:pPr>
            <w:r w:rsidRPr="008A03D2">
              <w:rPr>
                <w:rFonts w:eastAsia="Times New Roman" w:cs="Times New Roman"/>
                <w:color w:val="000000"/>
                <w:sz w:val="22"/>
              </w:rPr>
              <w:t>Indicator that the largest lessee of the property occupies 0% to less than 20% of the property’s square footage.</w:t>
            </w:r>
          </w:p>
        </w:tc>
      </w:tr>
      <w:tr w:rsidR="0065555D" w:rsidRPr="008A03D2" w14:paraId="5B39AB4C" w14:textId="77777777" w:rsidTr="007049D5">
        <w:trPr>
          <w:trHeight w:val="576"/>
        </w:trPr>
        <w:tc>
          <w:tcPr>
            <w:tcW w:w="0" w:type="auto"/>
            <w:shd w:val="clear" w:color="auto" w:fill="auto"/>
            <w:noWrap/>
            <w:vAlign w:val="center"/>
            <w:hideMark/>
          </w:tcPr>
          <w:p w14:paraId="53783C6D" w14:textId="77777777" w:rsidR="0065555D" w:rsidRPr="008A03D2" w:rsidRDefault="0065555D" w:rsidP="00FB3903">
            <w:pPr>
              <w:spacing w:after="0" w:line="240" w:lineRule="auto"/>
              <w:rPr>
                <w:rFonts w:eastAsia="Times New Roman" w:cs="Times New Roman"/>
                <w:color w:val="000000"/>
                <w:sz w:val="22"/>
              </w:rPr>
            </w:pPr>
            <w:r w:rsidRPr="008A03D2">
              <w:rPr>
                <w:rFonts w:eastAsia="Times New Roman" w:cs="Times New Roman"/>
                <w:color w:val="000000"/>
                <w:sz w:val="22"/>
              </w:rPr>
              <w:t xml:space="preserve">D(L1 </w:t>
            </w:r>
            <w:r>
              <w:rPr>
                <w:rFonts w:eastAsia="Times New Roman" w:cs="Times New Roman"/>
                <w:color w:val="000000"/>
                <w:sz w:val="22"/>
              </w:rPr>
              <w:t>Category 2</w:t>
            </w:r>
            <w:r w:rsidRPr="008A03D2">
              <w:rPr>
                <w:rFonts w:eastAsia="Times New Roman" w:cs="Times New Roman"/>
                <w:color w:val="000000"/>
                <w:sz w:val="22"/>
              </w:rPr>
              <w:t>)</w:t>
            </w:r>
          </w:p>
        </w:tc>
        <w:tc>
          <w:tcPr>
            <w:tcW w:w="0" w:type="auto"/>
            <w:vAlign w:val="center"/>
          </w:tcPr>
          <w:p w14:paraId="46B2FA50" w14:textId="77777777" w:rsidR="0065555D" w:rsidRPr="008A03D2" w:rsidRDefault="0065555D" w:rsidP="007049D5">
            <w:pPr>
              <w:spacing w:after="0" w:line="240" w:lineRule="auto"/>
              <w:rPr>
                <w:rFonts w:eastAsia="Times New Roman" w:cs="Times New Roman"/>
                <w:color w:val="000000"/>
                <w:sz w:val="22"/>
              </w:rPr>
            </w:pPr>
            <w:r w:rsidRPr="008A03D2">
              <w:rPr>
                <w:rFonts w:eastAsia="Times New Roman" w:cs="Times New Roman"/>
                <w:color w:val="000000"/>
                <w:sz w:val="22"/>
              </w:rPr>
              <w:t xml:space="preserve">Indicator that the largest lessee occupies 20% to less than 40% of the property’s square footage. </w:t>
            </w:r>
          </w:p>
        </w:tc>
      </w:tr>
      <w:tr w:rsidR="0065555D" w:rsidRPr="008A03D2" w14:paraId="1E31069A" w14:textId="77777777" w:rsidTr="007049D5">
        <w:trPr>
          <w:trHeight w:val="576"/>
        </w:trPr>
        <w:tc>
          <w:tcPr>
            <w:tcW w:w="0" w:type="auto"/>
            <w:shd w:val="clear" w:color="auto" w:fill="auto"/>
            <w:noWrap/>
            <w:vAlign w:val="center"/>
            <w:hideMark/>
          </w:tcPr>
          <w:p w14:paraId="4E6D7373" w14:textId="77777777" w:rsidR="0065555D" w:rsidRPr="008A03D2" w:rsidRDefault="0065555D" w:rsidP="00FB3903">
            <w:pPr>
              <w:spacing w:after="0" w:line="240" w:lineRule="auto"/>
              <w:rPr>
                <w:rFonts w:eastAsia="Times New Roman" w:cs="Times New Roman"/>
                <w:color w:val="000000"/>
                <w:sz w:val="22"/>
              </w:rPr>
            </w:pPr>
            <w:r w:rsidRPr="008A03D2">
              <w:rPr>
                <w:rFonts w:eastAsia="Times New Roman" w:cs="Times New Roman"/>
                <w:color w:val="000000"/>
                <w:sz w:val="22"/>
              </w:rPr>
              <w:t xml:space="preserve">D(L1 </w:t>
            </w:r>
            <w:r>
              <w:rPr>
                <w:rFonts w:eastAsia="Times New Roman" w:cs="Times New Roman"/>
                <w:color w:val="000000"/>
                <w:sz w:val="22"/>
              </w:rPr>
              <w:t>Category 3</w:t>
            </w:r>
            <w:r w:rsidRPr="008A03D2">
              <w:rPr>
                <w:rFonts w:eastAsia="Times New Roman" w:cs="Times New Roman"/>
                <w:color w:val="000000"/>
                <w:sz w:val="22"/>
              </w:rPr>
              <w:t>)</w:t>
            </w:r>
          </w:p>
        </w:tc>
        <w:tc>
          <w:tcPr>
            <w:tcW w:w="0" w:type="auto"/>
            <w:vAlign w:val="center"/>
          </w:tcPr>
          <w:p w14:paraId="57F2F1BF" w14:textId="77777777" w:rsidR="0065555D" w:rsidRPr="008A03D2" w:rsidRDefault="0065555D" w:rsidP="007049D5">
            <w:pPr>
              <w:spacing w:after="0" w:line="240" w:lineRule="auto"/>
              <w:rPr>
                <w:rFonts w:eastAsia="Times New Roman" w:cs="Times New Roman"/>
                <w:color w:val="000000"/>
                <w:sz w:val="22"/>
              </w:rPr>
            </w:pPr>
            <w:r w:rsidRPr="008A03D2">
              <w:rPr>
                <w:rFonts w:eastAsia="Times New Roman" w:cs="Times New Roman"/>
                <w:color w:val="000000"/>
                <w:sz w:val="22"/>
              </w:rPr>
              <w:t>Indicator that the largest lessee occupies 40% to less than 60% of the property’s square footage.</w:t>
            </w:r>
          </w:p>
        </w:tc>
      </w:tr>
      <w:tr w:rsidR="0065555D" w:rsidRPr="008A03D2" w14:paraId="244B3BC0" w14:textId="77777777" w:rsidTr="007049D5">
        <w:trPr>
          <w:trHeight w:val="576"/>
        </w:trPr>
        <w:tc>
          <w:tcPr>
            <w:tcW w:w="0" w:type="auto"/>
            <w:shd w:val="clear" w:color="auto" w:fill="auto"/>
            <w:noWrap/>
            <w:vAlign w:val="center"/>
            <w:hideMark/>
          </w:tcPr>
          <w:p w14:paraId="59D71018" w14:textId="77777777" w:rsidR="0065555D" w:rsidRPr="008A03D2" w:rsidRDefault="0065555D" w:rsidP="00FB3903">
            <w:pPr>
              <w:spacing w:after="0" w:line="240" w:lineRule="auto"/>
              <w:rPr>
                <w:rFonts w:eastAsia="Times New Roman" w:cs="Times New Roman"/>
                <w:color w:val="000000"/>
                <w:sz w:val="22"/>
              </w:rPr>
            </w:pPr>
            <w:r w:rsidRPr="008A03D2">
              <w:rPr>
                <w:rFonts w:eastAsia="Times New Roman" w:cs="Times New Roman"/>
                <w:color w:val="000000"/>
                <w:sz w:val="22"/>
              </w:rPr>
              <w:t xml:space="preserve">D(L1 </w:t>
            </w:r>
            <w:r>
              <w:rPr>
                <w:rFonts w:eastAsia="Times New Roman" w:cs="Times New Roman"/>
                <w:color w:val="000000"/>
                <w:sz w:val="22"/>
              </w:rPr>
              <w:t>Category 4</w:t>
            </w:r>
            <w:r w:rsidRPr="008A03D2">
              <w:rPr>
                <w:rFonts w:eastAsia="Times New Roman" w:cs="Times New Roman"/>
                <w:color w:val="000000"/>
                <w:sz w:val="22"/>
              </w:rPr>
              <w:t>)</w:t>
            </w:r>
          </w:p>
        </w:tc>
        <w:tc>
          <w:tcPr>
            <w:tcW w:w="0" w:type="auto"/>
            <w:vAlign w:val="center"/>
          </w:tcPr>
          <w:p w14:paraId="2A9153DE" w14:textId="77777777" w:rsidR="0065555D" w:rsidRPr="008A03D2" w:rsidRDefault="0065555D" w:rsidP="007049D5">
            <w:pPr>
              <w:spacing w:after="0" w:line="240" w:lineRule="auto"/>
              <w:rPr>
                <w:rFonts w:eastAsia="Times New Roman" w:cs="Times New Roman"/>
                <w:color w:val="000000"/>
                <w:sz w:val="22"/>
              </w:rPr>
            </w:pPr>
            <w:r w:rsidRPr="008A03D2">
              <w:rPr>
                <w:rFonts w:eastAsia="Times New Roman" w:cs="Times New Roman"/>
                <w:color w:val="000000"/>
                <w:sz w:val="22"/>
              </w:rPr>
              <w:t>Indicator that the largest lessee occupies 60% to less than 80% of the property’s square footage.</w:t>
            </w:r>
          </w:p>
        </w:tc>
      </w:tr>
      <w:tr w:rsidR="0065555D" w:rsidRPr="008A03D2" w14:paraId="4F3584C2" w14:textId="77777777" w:rsidTr="007049D5">
        <w:trPr>
          <w:trHeight w:val="576"/>
        </w:trPr>
        <w:tc>
          <w:tcPr>
            <w:tcW w:w="0" w:type="auto"/>
            <w:shd w:val="clear" w:color="auto" w:fill="auto"/>
            <w:noWrap/>
            <w:vAlign w:val="center"/>
            <w:hideMark/>
          </w:tcPr>
          <w:p w14:paraId="753FEEE4" w14:textId="77777777" w:rsidR="0065555D" w:rsidRPr="008A03D2" w:rsidRDefault="0065555D" w:rsidP="00FB3903">
            <w:pPr>
              <w:spacing w:after="0" w:line="240" w:lineRule="auto"/>
              <w:rPr>
                <w:rFonts w:eastAsia="Times New Roman" w:cs="Times New Roman"/>
                <w:color w:val="000000"/>
                <w:sz w:val="22"/>
              </w:rPr>
            </w:pPr>
            <w:r w:rsidRPr="008A03D2">
              <w:rPr>
                <w:rFonts w:eastAsia="Times New Roman" w:cs="Times New Roman"/>
                <w:color w:val="000000"/>
                <w:sz w:val="22"/>
              </w:rPr>
              <w:t xml:space="preserve">D(L1 </w:t>
            </w:r>
            <w:r>
              <w:rPr>
                <w:rFonts w:eastAsia="Times New Roman" w:cs="Times New Roman"/>
                <w:color w:val="000000"/>
                <w:sz w:val="22"/>
              </w:rPr>
              <w:t>Category 5</w:t>
            </w:r>
            <w:r w:rsidRPr="008A03D2">
              <w:rPr>
                <w:rFonts w:eastAsia="Times New Roman" w:cs="Times New Roman"/>
                <w:color w:val="000000"/>
                <w:sz w:val="22"/>
              </w:rPr>
              <w:t>)</w:t>
            </w:r>
          </w:p>
        </w:tc>
        <w:tc>
          <w:tcPr>
            <w:tcW w:w="0" w:type="auto"/>
            <w:vAlign w:val="center"/>
          </w:tcPr>
          <w:p w14:paraId="30BC9F3C" w14:textId="77777777" w:rsidR="0065555D" w:rsidRPr="008A03D2" w:rsidRDefault="0065555D" w:rsidP="007049D5">
            <w:pPr>
              <w:spacing w:after="0" w:line="240" w:lineRule="auto"/>
              <w:rPr>
                <w:rFonts w:eastAsia="Times New Roman" w:cs="Times New Roman"/>
                <w:color w:val="000000"/>
                <w:sz w:val="22"/>
              </w:rPr>
            </w:pPr>
            <w:r w:rsidRPr="008A03D2">
              <w:rPr>
                <w:rFonts w:eastAsia="Times New Roman" w:cs="Times New Roman"/>
                <w:color w:val="000000"/>
                <w:sz w:val="22"/>
              </w:rPr>
              <w:t xml:space="preserve">Indicator that the largest lessee occupies 80% to less than 100% of the property’s square footage. </w:t>
            </w:r>
          </w:p>
        </w:tc>
      </w:tr>
      <w:tr w:rsidR="0065555D" w:rsidRPr="008A03D2" w14:paraId="18561D94" w14:textId="77777777" w:rsidTr="007049D5">
        <w:trPr>
          <w:trHeight w:val="576"/>
        </w:trPr>
        <w:tc>
          <w:tcPr>
            <w:tcW w:w="0" w:type="auto"/>
            <w:shd w:val="clear" w:color="auto" w:fill="auto"/>
            <w:noWrap/>
            <w:vAlign w:val="center"/>
          </w:tcPr>
          <w:p w14:paraId="5332D6A6" w14:textId="77777777" w:rsidR="0065555D" w:rsidRPr="008A03D2" w:rsidRDefault="0065555D" w:rsidP="00FB3903">
            <w:pPr>
              <w:spacing w:after="0" w:line="240" w:lineRule="auto"/>
              <w:rPr>
                <w:rFonts w:eastAsia="Times New Roman" w:cs="Times New Roman"/>
                <w:color w:val="000000"/>
                <w:sz w:val="22"/>
              </w:rPr>
            </w:pPr>
            <w:r w:rsidRPr="008A03D2">
              <w:rPr>
                <w:rFonts w:eastAsia="Times New Roman" w:cs="Times New Roman"/>
                <w:color w:val="000000"/>
                <w:sz w:val="22"/>
              </w:rPr>
              <w:t xml:space="preserve">D(L1 </w:t>
            </w:r>
            <w:r>
              <w:rPr>
                <w:rFonts w:eastAsia="Times New Roman" w:cs="Times New Roman"/>
                <w:color w:val="000000"/>
                <w:sz w:val="22"/>
              </w:rPr>
              <w:t>Category 6</w:t>
            </w:r>
            <w:r w:rsidRPr="008A03D2">
              <w:rPr>
                <w:rFonts w:eastAsia="Times New Roman" w:cs="Times New Roman"/>
                <w:color w:val="000000"/>
                <w:sz w:val="22"/>
              </w:rPr>
              <w:t>)</w:t>
            </w:r>
          </w:p>
        </w:tc>
        <w:tc>
          <w:tcPr>
            <w:tcW w:w="0" w:type="auto"/>
            <w:vAlign w:val="center"/>
          </w:tcPr>
          <w:p w14:paraId="606185C7" w14:textId="77777777" w:rsidR="0065555D" w:rsidRPr="008A03D2" w:rsidRDefault="0065555D" w:rsidP="007049D5">
            <w:pPr>
              <w:spacing w:after="0" w:line="240" w:lineRule="auto"/>
              <w:rPr>
                <w:rFonts w:eastAsia="Times New Roman" w:cs="Times New Roman"/>
                <w:color w:val="000000"/>
                <w:sz w:val="22"/>
              </w:rPr>
            </w:pPr>
            <w:r w:rsidRPr="008A03D2">
              <w:rPr>
                <w:rFonts w:eastAsia="Times New Roman" w:cs="Times New Roman"/>
                <w:color w:val="000000"/>
                <w:sz w:val="22"/>
              </w:rPr>
              <w:t>Indicator that the largest lessee occupies 100% of the property’s square footage, meaning that the property is a single-tenant, completely undiversified property.</w:t>
            </w:r>
          </w:p>
        </w:tc>
      </w:tr>
      <w:tr w:rsidR="0065555D" w:rsidRPr="008A03D2" w14:paraId="4CB76510" w14:textId="77777777" w:rsidTr="007049D5">
        <w:trPr>
          <w:trHeight w:val="576"/>
        </w:trPr>
        <w:tc>
          <w:tcPr>
            <w:tcW w:w="0" w:type="auto"/>
            <w:shd w:val="clear" w:color="auto" w:fill="auto"/>
            <w:noWrap/>
            <w:vAlign w:val="center"/>
          </w:tcPr>
          <w:p w14:paraId="3AB97B07" w14:textId="77777777" w:rsidR="0065555D" w:rsidRPr="008A03D2" w:rsidRDefault="0065555D" w:rsidP="00FB3903">
            <w:pPr>
              <w:spacing w:after="0" w:line="240" w:lineRule="auto"/>
              <w:rPr>
                <w:rFonts w:eastAsia="Times New Roman" w:cs="Times New Roman"/>
                <w:color w:val="000000"/>
                <w:sz w:val="22"/>
              </w:rPr>
            </w:pPr>
            <w:r w:rsidRPr="008A03D2">
              <w:rPr>
                <w:rFonts w:eastAsia="Times New Roman" w:cs="Times New Roman"/>
                <w:color w:val="000000"/>
                <w:sz w:val="22"/>
              </w:rPr>
              <w:t>D(L1 Rollover)</w:t>
            </w:r>
          </w:p>
        </w:tc>
        <w:tc>
          <w:tcPr>
            <w:tcW w:w="0" w:type="auto"/>
            <w:vAlign w:val="center"/>
          </w:tcPr>
          <w:p w14:paraId="78B18139" w14:textId="77777777" w:rsidR="0065555D" w:rsidRPr="008A03D2" w:rsidRDefault="0065555D" w:rsidP="007049D5">
            <w:pPr>
              <w:spacing w:after="0" w:line="240" w:lineRule="auto"/>
              <w:rPr>
                <w:rFonts w:eastAsia="Times New Roman" w:cs="Times New Roman"/>
                <w:color w:val="000000"/>
                <w:sz w:val="22"/>
              </w:rPr>
            </w:pPr>
            <w:r w:rsidRPr="008A03D2">
              <w:rPr>
                <w:rFonts w:eastAsia="Times New Roman" w:cs="Times New Roman"/>
                <w:color w:val="000000"/>
                <w:sz w:val="22"/>
              </w:rPr>
              <w:t>Lease rollover dummy: An indicator that the property’s largest tenant has a lease that expires before the mortgage on the property matures.</w:t>
            </w:r>
          </w:p>
        </w:tc>
      </w:tr>
      <w:tr w:rsidR="0065555D" w:rsidRPr="008A03D2" w14:paraId="20EDCD57" w14:textId="77777777" w:rsidTr="007049D5">
        <w:trPr>
          <w:trHeight w:val="576"/>
        </w:trPr>
        <w:tc>
          <w:tcPr>
            <w:tcW w:w="0" w:type="auto"/>
            <w:shd w:val="clear" w:color="auto" w:fill="auto"/>
            <w:noWrap/>
            <w:vAlign w:val="center"/>
          </w:tcPr>
          <w:p w14:paraId="32ACEC4F" w14:textId="77777777" w:rsidR="0065555D" w:rsidRPr="008A03D2" w:rsidRDefault="0065555D" w:rsidP="00FB3903">
            <w:pPr>
              <w:spacing w:after="0" w:line="240" w:lineRule="auto"/>
              <w:rPr>
                <w:rFonts w:eastAsia="Times New Roman" w:cs="Times New Roman"/>
                <w:color w:val="000000"/>
                <w:sz w:val="22"/>
              </w:rPr>
            </w:pPr>
            <w:r w:rsidRPr="008A03D2">
              <w:rPr>
                <w:rFonts w:eastAsia="Times New Roman" w:cs="Times New Roman"/>
                <w:color w:val="000000"/>
                <w:sz w:val="22"/>
              </w:rPr>
              <w:t>LTV</w:t>
            </w:r>
          </w:p>
        </w:tc>
        <w:tc>
          <w:tcPr>
            <w:tcW w:w="0" w:type="auto"/>
            <w:vAlign w:val="center"/>
          </w:tcPr>
          <w:p w14:paraId="2EF24FD8" w14:textId="77777777" w:rsidR="0065555D" w:rsidRPr="008A03D2" w:rsidRDefault="0065555D" w:rsidP="007049D5">
            <w:pPr>
              <w:spacing w:after="0" w:line="240" w:lineRule="auto"/>
              <w:rPr>
                <w:rFonts w:eastAsia="Times New Roman" w:cs="Times New Roman"/>
                <w:color w:val="000000"/>
                <w:sz w:val="22"/>
              </w:rPr>
            </w:pPr>
            <w:r w:rsidRPr="008A03D2">
              <w:rPr>
                <w:rFonts w:eastAsia="Times New Roman" w:cs="Times New Roman"/>
                <w:color w:val="000000"/>
                <w:sz w:val="22"/>
              </w:rPr>
              <w:t>Ratio of the value of the loan to the value of the property.</w:t>
            </w:r>
          </w:p>
        </w:tc>
      </w:tr>
      <w:tr w:rsidR="0065555D" w:rsidRPr="008A03D2" w14:paraId="59883B09" w14:textId="77777777" w:rsidTr="007049D5">
        <w:trPr>
          <w:trHeight w:val="576"/>
        </w:trPr>
        <w:tc>
          <w:tcPr>
            <w:tcW w:w="0" w:type="auto"/>
            <w:shd w:val="clear" w:color="auto" w:fill="auto"/>
            <w:noWrap/>
            <w:vAlign w:val="center"/>
          </w:tcPr>
          <w:p w14:paraId="5DEB3B1A" w14:textId="77777777" w:rsidR="0065555D" w:rsidRPr="008A03D2" w:rsidRDefault="0065555D" w:rsidP="00FB3903">
            <w:pPr>
              <w:spacing w:after="0" w:line="240" w:lineRule="auto"/>
              <w:rPr>
                <w:rFonts w:eastAsia="Times New Roman" w:cs="Times New Roman"/>
                <w:color w:val="000000"/>
                <w:sz w:val="22"/>
              </w:rPr>
            </w:pPr>
            <w:r w:rsidRPr="008A03D2">
              <w:rPr>
                <w:rFonts w:eastAsia="Times New Roman" w:cs="Times New Roman"/>
                <w:color w:val="000000"/>
                <w:sz w:val="22"/>
              </w:rPr>
              <w:t xml:space="preserve">D(LTV ≥ </w:t>
            </w:r>
            <w:r>
              <w:rPr>
                <w:rFonts w:eastAsia="Times New Roman" w:cs="Times New Roman"/>
                <w:color w:val="000000"/>
                <w:sz w:val="22"/>
              </w:rPr>
              <w:t>0.70</w:t>
            </w:r>
            <w:r w:rsidRPr="008A03D2">
              <w:rPr>
                <w:rFonts w:eastAsia="Times New Roman" w:cs="Times New Roman"/>
                <w:color w:val="000000"/>
                <w:sz w:val="22"/>
              </w:rPr>
              <w:t>)</w:t>
            </w:r>
          </w:p>
        </w:tc>
        <w:tc>
          <w:tcPr>
            <w:tcW w:w="0" w:type="auto"/>
            <w:vAlign w:val="center"/>
          </w:tcPr>
          <w:p w14:paraId="24472CA3" w14:textId="77777777" w:rsidR="0065555D" w:rsidRPr="008A03D2" w:rsidRDefault="0065555D" w:rsidP="007049D5">
            <w:pPr>
              <w:spacing w:after="0" w:line="240" w:lineRule="auto"/>
              <w:rPr>
                <w:rFonts w:eastAsia="Times New Roman" w:cs="Times New Roman"/>
                <w:color w:val="000000"/>
                <w:sz w:val="22"/>
              </w:rPr>
            </w:pPr>
            <w:r w:rsidRPr="008A03D2">
              <w:rPr>
                <w:rFonts w:eastAsia="Times New Roman" w:cs="Times New Roman"/>
                <w:color w:val="000000"/>
                <w:sz w:val="22"/>
              </w:rPr>
              <w:t xml:space="preserve">A dummy variable indicating an LTV greater than or equal </w:t>
            </w:r>
            <w:r>
              <w:rPr>
                <w:rFonts w:eastAsia="Times New Roman" w:cs="Times New Roman"/>
                <w:color w:val="000000"/>
                <w:sz w:val="22"/>
              </w:rPr>
              <w:t>to 0.70.</w:t>
            </w:r>
          </w:p>
        </w:tc>
      </w:tr>
      <w:tr w:rsidR="0065555D" w:rsidRPr="008A03D2" w14:paraId="15DDF52E" w14:textId="77777777" w:rsidTr="007049D5">
        <w:trPr>
          <w:trHeight w:val="576"/>
        </w:trPr>
        <w:tc>
          <w:tcPr>
            <w:tcW w:w="0" w:type="auto"/>
            <w:shd w:val="clear" w:color="auto" w:fill="auto"/>
            <w:noWrap/>
            <w:vAlign w:val="center"/>
          </w:tcPr>
          <w:p w14:paraId="5A4DAF98" w14:textId="77777777" w:rsidR="0065555D" w:rsidRPr="008A03D2" w:rsidRDefault="0065555D" w:rsidP="00FB3903">
            <w:pPr>
              <w:spacing w:after="0" w:line="240" w:lineRule="auto"/>
              <w:rPr>
                <w:rFonts w:eastAsia="Times New Roman" w:cs="Times New Roman"/>
                <w:color w:val="000000"/>
                <w:sz w:val="22"/>
              </w:rPr>
            </w:pPr>
            <w:r w:rsidRPr="008A03D2">
              <w:rPr>
                <w:rFonts w:eastAsia="Times New Roman" w:cs="Times New Roman"/>
                <w:color w:val="000000"/>
                <w:sz w:val="22"/>
              </w:rPr>
              <w:t>Log(</w:t>
            </w:r>
            <w:r>
              <w:rPr>
                <w:rFonts w:eastAsia="Times New Roman" w:cs="Times New Roman"/>
                <w:color w:val="000000"/>
                <w:sz w:val="22"/>
              </w:rPr>
              <w:t xml:space="preserve">Real </w:t>
            </w:r>
            <w:r w:rsidRPr="008A03D2">
              <w:rPr>
                <w:rFonts w:eastAsia="Times New Roman" w:cs="Times New Roman"/>
                <w:color w:val="000000"/>
                <w:sz w:val="22"/>
              </w:rPr>
              <w:t>Property Value)</w:t>
            </w:r>
          </w:p>
        </w:tc>
        <w:tc>
          <w:tcPr>
            <w:tcW w:w="0" w:type="auto"/>
            <w:vAlign w:val="center"/>
          </w:tcPr>
          <w:p w14:paraId="71564690" w14:textId="77777777" w:rsidR="0065555D" w:rsidRPr="008A03D2" w:rsidRDefault="0065555D" w:rsidP="007049D5">
            <w:pPr>
              <w:spacing w:after="0" w:line="240" w:lineRule="auto"/>
              <w:rPr>
                <w:rFonts w:eastAsia="Times New Roman" w:cs="Times New Roman"/>
                <w:color w:val="000000"/>
                <w:sz w:val="22"/>
              </w:rPr>
            </w:pPr>
            <w:r w:rsidRPr="004A1AA7">
              <w:rPr>
                <w:rFonts w:eastAsia="Times New Roman" w:cs="Times New Roman"/>
                <w:color w:val="000000"/>
                <w:sz w:val="22"/>
              </w:rPr>
              <w:t>The natural log of the property’s appraised value.</w:t>
            </w:r>
            <w:r>
              <w:rPr>
                <w:rFonts w:eastAsia="Times New Roman" w:cs="Times New Roman"/>
                <w:color w:val="000000"/>
                <w:sz w:val="22"/>
              </w:rPr>
              <w:t xml:space="preserve"> Dollars are adjusted by the CPI with 1982-1984 as the base period.</w:t>
            </w:r>
          </w:p>
        </w:tc>
      </w:tr>
      <w:tr w:rsidR="0065555D" w:rsidRPr="008A03D2" w14:paraId="1B7D0DFB" w14:textId="77777777" w:rsidTr="007049D5">
        <w:trPr>
          <w:trHeight w:val="576"/>
        </w:trPr>
        <w:tc>
          <w:tcPr>
            <w:tcW w:w="0" w:type="auto"/>
            <w:shd w:val="clear" w:color="auto" w:fill="auto"/>
            <w:noWrap/>
            <w:vAlign w:val="center"/>
          </w:tcPr>
          <w:p w14:paraId="7F13AAB7" w14:textId="77777777" w:rsidR="0065555D" w:rsidRPr="008A03D2" w:rsidRDefault="0065555D" w:rsidP="00FB3903">
            <w:pPr>
              <w:spacing w:after="0" w:line="240" w:lineRule="auto"/>
              <w:rPr>
                <w:rFonts w:eastAsia="Times New Roman" w:cs="Times New Roman"/>
                <w:color w:val="000000"/>
                <w:sz w:val="22"/>
              </w:rPr>
            </w:pPr>
            <w:r w:rsidRPr="008A03D2">
              <w:rPr>
                <w:rFonts w:eastAsia="Times New Roman" w:cs="Times New Roman"/>
                <w:color w:val="000000"/>
                <w:sz w:val="22"/>
              </w:rPr>
              <w:t>NOI/Prop Value</w:t>
            </w:r>
          </w:p>
        </w:tc>
        <w:tc>
          <w:tcPr>
            <w:tcW w:w="0" w:type="auto"/>
            <w:vAlign w:val="center"/>
          </w:tcPr>
          <w:p w14:paraId="308939D9" w14:textId="77777777" w:rsidR="0065555D" w:rsidRPr="008A03D2" w:rsidRDefault="0065555D" w:rsidP="007049D5">
            <w:pPr>
              <w:spacing w:after="0" w:line="240" w:lineRule="auto"/>
              <w:rPr>
                <w:rFonts w:eastAsia="Times New Roman" w:cs="Times New Roman"/>
                <w:sz w:val="22"/>
              </w:rPr>
            </w:pPr>
            <w:r w:rsidRPr="008A03D2">
              <w:rPr>
                <w:rFonts w:eastAsia="Times New Roman" w:cs="Times New Roman"/>
                <w:sz w:val="22"/>
              </w:rPr>
              <w:t>The property’s NOI relative to its appraised value.</w:t>
            </w:r>
          </w:p>
        </w:tc>
      </w:tr>
      <w:tr w:rsidR="0065555D" w:rsidRPr="008A03D2" w14:paraId="63192E8C" w14:textId="77777777" w:rsidTr="007049D5">
        <w:trPr>
          <w:trHeight w:val="576"/>
        </w:trPr>
        <w:tc>
          <w:tcPr>
            <w:tcW w:w="0" w:type="auto"/>
            <w:shd w:val="clear" w:color="auto" w:fill="auto"/>
            <w:noWrap/>
            <w:vAlign w:val="center"/>
          </w:tcPr>
          <w:p w14:paraId="278E08FD" w14:textId="77777777" w:rsidR="0065555D" w:rsidRPr="008A03D2" w:rsidRDefault="0065555D" w:rsidP="00FB3903">
            <w:pPr>
              <w:spacing w:after="0" w:line="240" w:lineRule="auto"/>
              <w:rPr>
                <w:rFonts w:eastAsia="Times New Roman" w:cs="Times New Roman"/>
                <w:color w:val="000000"/>
                <w:sz w:val="22"/>
              </w:rPr>
            </w:pPr>
            <w:r w:rsidRPr="008A03D2">
              <w:rPr>
                <w:rFonts w:eastAsia="Times New Roman" w:cs="Times New Roman"/>
                <w:color w:val="000000"/>
                <w:sz w:val="22"/>
              </w:rPr>
              <w:t>Occupancy Rate</w:t>
            </w:r>
          </w:p>
        </w:tc>
        <w:tc>
          <w:tcPr>
            <w:tcW w:w="0" w:type="auto"/>
            <w:vAlign w:val="center"/>
          </w:tcPr>
          <w:p w14:paraId="0EFB8B3C" w14:textId="77777777" w:rsidR="0065555D" w:rsidRPr="008A03D2" w:rsidRDefault="0065555D" w:rsidP="007049D5">
            <w:pPr>
              <w:spacing w:after="0" w:line="240" w:lineRule="auto"/>
              <w:rPr>
                <w:rFonts w:eastAsia="Times New Roman" w:cs="Times New Roman"/>
                <w:color w:val="000000"/>
                <w:sz w:val="22"/>
              </w:rPr>
            </w:pPr>
            <w:r w:rsidRPr="008A03D2">
              <w:rPr>
                <w:rFonts w:eastAsia="Times New Roman" w:cs="Times New Roman"/>
                <w:color w:val="000000"/>
                <w:sz w:val="22"/>
              </w:rPr>
              <w:t>The property’s occupancy rate expressed as a percentage.</w:t>
            </w:r>
          </w:p>
        </w:tc>
      </w:tr>
      <w:tr w:rsidR="0065555D" w:rsidRPr="008A03D2" w14:paraId="3938A84E" w14:textId="77777777" w:rsidTr="007049D5">
        <w:trPr>
          <w:trHeight w:val="576"/>
        </w:trPr>
        <w:tc>
          <w:tcPr>
            <w:tcW w:w="0" w:type="auto"/>
            <w:shd w:val="clear" w:color="auto" w:fill="auto"/>
            <w:noWrap/>
            <w:vAlign w:val="center"/>
          </w:tcPr>
          <w:p w14:paraId="581BA213" w14:textId="77777777" w:rsidR="0065555D" w:rsidRPr="008A03D2" w:rsidRDefault="0065555D" w:rsidP="00FB3903">
            <w:pPr>
              <w:spacing w:after="0" w:line="240" w:lineRule="auto"/>
              <w:rPr>
                <w:rFonts w:eastAsia="Times New Roman" w:cs="Times New Roman"/>
                <w:color w:val="000000"/>
                <w:sz w:val="22"/>
              </w:rPr>
            </w:pPr>
            <w:r w:rsidRPr="008A03D2">
              <w:rPr>
                <w:rFonts w:eastAsia="Times New Roman" w:cs="Times New Roman"/>
                <w:color w:val="000000"/>
                <w:sz w:val="22"/>
              </w:rPr>
              <w:t>Log(Property Age)</w:t>
            </w:r>
          </w:p>
        </w:tc>
        <w:tc>
          <w:tcPr>
            <w:tcW w:w="0" w:type="auto"/>
            <w:vAlign w:val="center"/>
          </w:tcPr>
          <w:p w14:paraId="37259E5A" w14:textId="77777777" w:rsidR="0065555D" w:rsidRPr="008A03D2" w:rsidRDefault="0065555D" w:rsidP="007049D5">
            <w:pPr>
              <w:spacing w:after="0" w:line="240" w:lineRule="auto"/>
              <w:rPr>
                <w:rFonts w:eastAsia="Times New Roman" w:cs="Times New Roman"/>
                <w:color w:val="000000"/>
                <w:sz w:val="22"/>
              </w:rPr>
            </w:pPr>
            <w:r w:rsidRPr="008A03D2">
              <w:rPr>
                <w:rFonts w:eastAsia="Times New Roman" w:cs="Times New Roman"/>
                <w:color w:val="000000"/>
                <w:sz w:val="22"/>
              </w:rPr>
              <w:t>The natural log of the property’s age in years.</w:t>
            </w:r>
          </w:p>
        </w:tc>
      </w:tr>
      <w:tr w:rsidR="0065555D" w:rsidRPr="008A03D2" w14:paraId="1E025B88" w14:textId="77777777" w:rsidTr="007049D5">
        <w:trPr>
          <w:trHeight w:val="576"/>
        </w:trPr>
        <w:tc>
          <w:tcPr>
            <w:tcW w:w="0" w:type="auto"/>
            <w:shd w:val="clear" w:color="auto" w:fill="auto"/>
            <w:noWrap/>
            <w:vAlign w:val="center"/>
          </w:tcPr>
          <w:p w14:paraId="4D9D885C" w14:textId="77777777" w:rsidR="0065555D" w:rsidRPr="008A03D2" w:rsidRDefault="0065555D" w:rsidP="00FB3903">
            <w:pPr>
              <w:spacing w:after="0" w:line="240" w:lineRule="auto"/>
              <w:jc w:val="left"/>
              <w:rPr>
                <w:rFonts w:eastAsia="Times New Roman" w:cs="Times New Roman"/>
                <w:color w:val="000000"/>
                <w:sz w:val="22"/>
              </w:rPr>
            </w:pPr>
            <w:r w:rsidRPr="008A03D2">
              <w:rPr>
                <w:rFonts w:eastAsia="Times New Roman" w:cs="Times New Roman"/>
                <w:color w:val="000000"/>
                <w:sz w:val="22"/>
              </w:rPr>
              <w:t>Amortization Rate</w:t>
            </w:r>
          </w:p>
        </w:tc>
        <w:tc>
          <w:tcPr>
            <w:tcW w:w="0" w:type="auto"/>
            <w:vAlign w:val="center"/>
          </w:tcPr>
          <w:p w14:paraId="2F850AF6" w14:textId="77777777" w:rsidR="0065555D" w:rsidRPr="000F006D" w:rsidRDefault="0065555D" w:rsidP="007049D5">
            <w:pPr>
              <w:spacing w:after="0" w:line="240" w:lineRule="auto"/>
              <w:rPr>
                <w:rFonts w:eastAsia="Times New Roman" w:cs="Times New Roman"/>
                <w:color w:val="000000"/>
                <w:sz w:val="22"/>
              </w:rPr>
            </w:pPr>
            <m:oMathPara>
              <m:oMathParaPr>
                <m:jc m:val="left"/>
              </m:oMathParaPr>
              <m:oMath>
                <m:r>
                  <m:rPr>
                    <m:nor/>
                  </m:rPr>
                  <w:rPr>
                    <w:rFonts w:eastAsia="Times New Roman" w:cs="Times New Roman"/>
                    <w:sz w:val="22"/>
                  </w:rPr>
                  <m:t>1</m:t>
                </m:r>
                <m:r>
                  <w:rPr>
                    <w:rFonts w:ascii="Cambria Math" w:eastAsia="Times New Roman" w:cs="Times New Roman"/>
                    <w:sz w:val="22"/>
                  </w:rPr>
                  <m:t>-</m:t>
                </m:r>
                <m:f>
                  <m:fPr>
                    <m:ctrlPr>
                      <w:rPr>
                        <w:rFonts w:ascii="Cambria Math" w:eastAsia="Times New Roman" w:hAnsi="Cambria Math" w:cs="Times New Roman"/>
                        <w:i/>
                        <w:sz w:val="22"/>
                      </w:rPr>
                    </m:ctrlPr>
                  </m:fPr>
                  <m:num>
                    <m:r>
                      <m:rPr>
                        <m:nor/>
                      </m:rPr>
                      <w:rPr>
                        <w:rFonts w:eastAsia="Times New Roman" w:cs="Times New Roman"/>
                        <w:sz w:val="22"/>
                      </w:rPr>
                      <m:t>balloon balance</m:t>
                    </m:r>
                  </m:num>
                  <m:den>
                    <m:r>
                      <m:rPr>
                        <m:nor/>
                      </m:rPr>
                      <w:rPr>
                        <w:rFonts w:eastAsia="Times New Roman" w:cs="Times New Roman"/>
                        <w:sz w:val="22"/>
                      </w:rPr>
                      <m:t>original loan balance</m:t>
                    </m:r>
                  </m:den>
                </m:f>
              </m:oMath>
            </m:oMathPara>
          </w:p>
        </w:tc>
      </w:tr>
      <w:tr w:rsidR="0065555D" w:rsidRPr="008A03D2" w14:paraId="2AD717EC" w14:textId="77777777" w:rsidTr="007049D5">
        <w:trPr>
          <w:trHeight w:val="576"/>
        </w:trPr>
        <w:tc>
          <w:tcPr>
            <w:tcW w:w="0" w:type="auto"/>
            <w:shd w:val="clear" w:color="auto" w:fill="auto"/>
            <w:noWrap/>
            <w:vAlign w:val="center"/>
          </w:tcPr>
          <w:p w14:paraId="5B7E33EA" w14:textId="77777777" w:rsidR="0065555D" w:rsidRPr="008A03D2" w:rsidRDefault="0065555D" w:rsidP="00FB3903">
            <w:pPr>
              <w:spacing w:after="0" w:line="240" w:lineRule="auto"/>
              <w:rPr>
                <w:rFonts w:eastAsia="Times New Roman" w:cs="Times New Roman"/>
                <w:color w:val="000000"/>
                <w:sz w:val="22"/>
              </w:rPr>
            </w:pPr>
            <w:r w:rsidRPr="008A03D2">
              <w:rPr>
                <w:rFonts w:eastAsia="Times New Roman" w:cs="Times New Roman"/>
                <w:color w:val="000000"/>
                <w:sz w:val="22"/>
              </w:rPr>
              <w:t>Years to Maturity</w:t>
            </w:r>
          </w:p>
        </w:tc>
        <w:tc>
          <w:tcPr>
            <w:tcW w:w="0" w:type="auto"/>
            <w:vAlign w:val="center"/>
          </w:tcPr>
          <w:p w14:paraId="139A8B1A" w14:textId="77777777" w:rsidR="0065555D" w:rsidRPr="008A03D2" w:rsidRDefault="0065555D" w:rsidP="007049D5">
            <w:pPr>
              <w:spacing w:after="0" w:line="240" w:lineRule="auto"/>
              <w:rPr>
                <w:rFonts w:eastAsia="Times New Roman" w:cs="Times New Roman"/>
                <w:color w:val="000000"/>
                <w:sz w:val="22"/>
              </w:rPr>
            </w:pPr>
            <w:r w:rsidRPr="008A03D2">
              <w:rPr>
                <w:rFonts w:eastAsia="Times New Roman" w:cs="Times New Roman"/>
                <w:color w:val="000000"/>
                <w:sz w:val="22"/>
              </w:rPr>
              <w:t>The number of years from loan origination to loan maturity.</w:t>
            </w:r>
          </w:p>
        </w:tc>
      </w:tr>
    </w:tbl>
    <w:p w14:paraId="18BD8A69" w14:textId="77777777" w:rsidR="0065555D" w:rsidRPr="008C73FB" w:rsidRDefault="0065555D" w:rsidP="00FB3903">
      <w:pPr>
        <w:spacing w:line="240" w:lineRule="auto"/>
        <w:rPr>
          <w:rFonts w:eastAsia="Times New Roman" w:cs="Times New Roman"/>
        </w:rPr>
      </w:pPr>
    </w:p>
    <w:p w14:paraId="3A73912C" w14:textId="77777777" w:rsidR="0065555D" w:rsidRPr="008C73FB" w:rsidRDefault="0065555D" w:rsidP="00FB3903">
      <w:pPr>
        <w:spacing w:line="240" w:lineRule="auto"/>
        <w:rPr>
          <w:rFonts w:eastAsia="Times New Roman" w:cs="Times New Roman"/>
        </w:rPr>
      </w:pPr>
    </w:p>
    <w:p w14:paraId="7E951335" w14:textId="77777777" w:rsidR="0065555D" w:rsidRPr="008C73FB" w:rsidRDefault="0065555D" w:rsidP="00FB3903">
      <w:pPr>
        <w:spacing w:line="240" w:lineRule="auto"/>
        <w:rPr>
          <w:rFonts w:eastAsia="Times New Roman" w:cs="Times New Roman"/>
        </w:rPr>
        <w:sectPr w:rsidR="0065555D" w:rsidRPr="008C73FB" w:rsidSect="00FB3903">
          <w:pgSz w:w="12240" w:h="15840"/>
          <w:pgMar w:top="1440" w:right="1440" w:bottom="1440" w:left="1440" w:header="720" w:footer="720" w:gutter="0"/>
          <w:cols w:space="720"/>
          <w:docGrid w:linePitch="360"/>
        </w:sectPr>
      </w:pPr>
    </w:p>
    <w:p w14:paraId="380ECA5F" w14:textId="77777777" w:rsidR="0065555D" w:rsidRPr="008C73FB" w:rsidRDefault="0065555D" w:rsidP="00FB3903">
      <w:pPr>
        <w:spacing w:after="0" w:line="240" w:lineRule="auto"/>
        <w:rPr>
          <w:rFonts w:eastAsia="Times New Roman" w:cs="Times New Roman"/>
          <w:bCs/>
          <w:szCs w:val="18"/>
        </w:rPr>
      </w:pPr>
      <w:bookmarkStart w:id="4" w:name="_Ref398552289"/>
      <w:r w:rsidRPr="008C73FB">
        <w:rPr>
          <w:rFonts w:eastAsia="Times New Roman" w:cs="Times New Roman"/>
          <w:bCs/>
          <w:szCs w:val="18"/>
        </w:rPr>
        <w:t xml:space="preserve">Table </w:t>
      </w:r>
      <w:r>
        <w:rPr>
          <w:rFonts w:eastAsia="Times New Roman" w:cs="Times New Roman"/>
          <w:bCs/>
          <w:noProof/>
          <w:szCs w:val="18"/>
        </w:rPr>
        <w:t>3</w:t>
      </w:r>
      <w:bookmarkEnd w:id="4"/>
      <w:r w:rsidRPr="008C73FB">
        <w:rPr>
          <w:rFonts w:eastAsia="Times New Roman" w:cs="Times New Roman"/>
          <w:bCs/>
          <w:szCs w:val="18"/>
        </w:rPr>
        <w:t>: Spread Regressions</w:t>
      </w:r>
      <w:r>
        <w:rPr>
          <w:rFonts w:eastAsia="Times New Roman" w:cs="Times New Roman"/>
          <w:bCs/>
          <w:szCs w:val="18"/>
        </w:rPr>
        <w:t xml:space="preserve"> with Largest Lessee Percent Square Footage Dummies</w:t>
      </w:r>
    </w:p>
    <w:p w14:paraId="2A766A91" w14:textId="77777777" w:rsidR="0065555D" w:rsidRPr="008C73FB" w:rsidRDefault="0065555D" w:rsidP="00FB3903">
      <w:pPr>
        <w:spacing w:line="240" w:lineRule="auto"/>
        <w:rPr>
          <w:rFonts w:eastAsia="Times New Roman" w:cs="Times New Roman"/>
        </w:rPr>
      </w:pPr>
      <w:r>
        <w:rPr>
          <w:rFonts w:eastAsia="Times New Roman" w:cs="Times New Roman"/>
        </w:rPr>
        <w:t>T</w:t>
      </w:r>
      <w:r w:rsidRPr="008C73FB">
        <w:rPr>
          <w:rFonts w:eastAsia="Times New Roman" w:cs="Times New Roman"/>
        </w:rPr>
        <w:t xml:space="preserve">he </w:t>
      </w:r>
      <w:r>
        <w:rPr>
          <w:rFonts w:eastAsia="Times New Roman" w:cs="Times New Roman"/>
        </w:rPr>
        <w:t xml:space="preserve">dependent variable in the regression model is the </w:t>
      </w:r>
      <w:r w:rsidRPr="008C73FB">
        <w:rPr>
          <w:rFonts w:eastAsia="Times New Roman" w:cs="Times New Roman"/>
        </w:rPr>
        <w:t xml:space="preserve">spread </w:t>
      </w:r>
      <w:r>
        <w:rPr>
          <w:rFonts w:eastAsia="Times New Roman" w:cs="Times New Roman"/>
        </w:rPr>
        <w:t xml:space="preserve">between the mortgage interest rate and the rate on a maturity matched Treasury security. In the first model, the spread </w:t>
      </w:r>
      <w:r w:rsidRPr="008C73FB">
        <w:rPr>
          <w:rFonts w:eastAsia="Times New Roman" w:cs="Times New Roman"/>
        </w:rPr>
        <w:t xml:space="preserve">is regressed on dummy variables representing the percent of square footage occupied by the property’s largest tenant (L1%) and a number of control variables. </w:t>
      </w:r>
      <w:r>
        <w:rPr>
          <w:rFonts w:eastAsia="Times New Roman" w:cs="Times New Roman"/>
        </w:rPr>
        <w:t xml:space="preserve">In the second model, the L1% dummy variables are interacted with a dummy variable that equals 1 if the largest tenant’s lease expires before the loan matures and 0 otherwise. </w:t>
      </w:r>
      <w:r w:rsidRPr="008C73FB">
        <w:rPr>
          <w:rFonts w:eastAsia="Times New Roman" w:cs="Times New Roman"/>
        </w:rPr>
        <w:t xml:space="preserve">The data span from January 1998 to March 2012. The models include </w:t>
      </w:r>
      <w:r>
        <w:rPr>
          <w:rFonts w:eastAsia="Times New Roman" w:cs="Times New Roman"/>
        </w:rPr>
        <w:t>month</w:t>
      </w:r>
      <w:r w:rsidRPr="008C73FB">
        <w:rPr>
          <w:rFonts w:eastAsia="Times New Roman" w:cs="Times New Roman"/>
        </w:rPr>
        <w:t xml:space="preserve"> fixed effects, and coefficient standard errors are clustered by </w:t>
      </w:r>
      <w:r>
        <w:rPr>
          <w:rFonts w:eastAsia="Times New Roman" w:cs="Times New Roman"/>
        </w:rPr>
        <w:t>month</w:t>
      </w:r>
      <w:r w:rsidRPr="008C73FB">
        <w:rPr>
          <w:rFonts w:eastAsia="Times New Roman" w:cs="Times New Roman"/>
        </w:rPr>
        <w:t>.</w:t>
      </w:r>
    </w:p>
    <w:p w14:paraId="1BE2FE2A" w14:textId="77777777" w:rsidR="0065555D" w:rsidRPr="008C73FB" w:rsidRDefault="0065555D" w:rsidP="00FB3903">
      <w:pPr>
        <w:spacing w:line="240" w:lineRule="auto"/>
        <w:rPr>
          <w:rFonts w:eastAsia="Times New Roman" w:cs="Times New Roman"/>
        </w:rPr>
      </w:pPr>
    </w:p>
    <w:tbl>
      <w:tblPr>
        <w:tblW w:w="0" w:type="auto"/>
        <w:jc w:val="center"/>
        <w:tblLook w:val="04A0" w:firstRow="1" w:lastRow="0" w:firstColumn="1" w:lastColumn="0" w:noHBand="0" w:noVBand="1"/>
      </w:tblPr>
      <w:tblGrid>
        <w:gridCol w:w="3112"/>
        <w:gridCol w:w="1116"/>
        <w:gridCol w:w="1066"/>
        <w:gridCol w:w="1116"/>
        <w:gridCol w:w="1066"/>
      </w:tblGrid>
      <w:tr w:rsidR="0065555D" w:rsidRPr="00E55519" w14:paraId="43D8400D" w14:textId="77777777" w:rsidTr="007049D5">
        <w:trPr>
          <w:trHeight w:val="264"/>
          <w:jc w:val="center"/>
        </w:trPr>
        <w:tc>
          <w:tcPr>
            <w:tcW w:w="0" w:type="auto"/>
            <w:gridSpan w:val="5"/>
            <w:tcBorders>
              <w:top w:val="single" w:sz="4" w:space="0" w:color="auto"/>
              <w:left w:val="nil"/>
              <w:bottom w:val="single" w:sz="4" w:space="0" w:color="auto"/>
              <w:right w:val="nil"/>
            </w:tcBorders>
            <w:shd w:val="clear" w:color="auto" w:fill="auto"/>
            <w:noWrap/>
            <w:vAlign w:val="center"/>
          </w:tcPr>
          <w:p w14:paraId="6E3D61A7" w14:textId="77777777" w:rsidR="0065555D" w:rsidRPr="00E55519" w:rsidRDefault="0065555D" w:rsidP="007049D5">
            <w:pPr>
              <w:spacing w:after="0" w:line="240" w:lineRule="auto"/>
              <w:jc w:val="center"/>
              <w:rPr>
                <w:rFonts w:eastAsia="Times New Roman" w:cs="Times New Roman"/>
                <w:color w:val="000000"/>
                <w:sz w:val="20"/>
                <w:szCs w:val="20"/>
              </w:rPr>
            </w:pPr>
            <w:r w:rsidRPr="00E55519">
              <w:rPr>
                <w:rFonts w:eastAsia="Times New Roman" w:cs="Times New Roman"/>
                <w:color w:val="000000"/>
                <w:sz w:val="20"/>
                <w:szCs w:val="20"/>
              </w:rPr>
              <w:t>Dependent Variable = Commercial Mortgage Spread (%)</w:t>
            </w:r>
          </w:p>
        </w:tc>
      </w:tr>
      <w:tr w:rsidR="0065555D" w:rsidRPr="00E55519" w14:paraId="088788F1" w14:textId="77777777" w:rsidTr="00FB3903">
        <w:trPr>
          <w:trHeight w:val="264"/>
          <w:jc w:val="center"/>
        </w:trPr>
        <w:tc>
          <w:tcPr>
            <w:tcW w:w="0" w:type="auto"/>
            <w:vMerge w:val="restart"/>
            <w:tcBorders>
              <w:top w:val="single" w:sz="4" w:space="0" w:color="auto"/>
              <w:left w:val="nil"/>
              <w:right w:val="nil"/>
            </w:tcBorders>
            <w:shd w:val="clear" w:color="auto" w:fill="auto"/>
            <w:noWrap/>
            <w:vAlign w:val="bottom"/>
          </w:tcPr>
          <w:p w14:paraId="5A1DFA47" w14:textId="77777777" w:rsidR="0065555D" w:rsidRPr="00E55519" w:rsidRDefault="0065555D" w:rsidP="00FB3903">
            <w:pPr>
              <w:spacing w:after="0" w:line="240" w:lineRule="auto"/>
              <w:rPr>
                <w:rFonts w:eastAsia="Times New Roman" w:cs="Times New Roman"/>
                <w:color w:val="000000"/>
                <w:sz w:val="20"/>
                <w:szCs w:val="20"/>
              </w:rPr>
            </w:pPr>
            <w:r w:rsidRPr="00E55519">
              <w:rPr>
                <w:rFonts w:eastAsia="Times New Roman" w:cs="Times New Roman"/>
                <w:color w:val="000000"/>
                <w:sz w:val="20"/>
                <w:szCs w:val="20"/>
              </w:rPr>
              <w:t>Variable</w:t>
            </w:r>
          </w:p>
        </w:tc>
        <w:tc>
          <w:tcPr>
            <w:tcW w:w="0" w:type="auto"/>
            <w:gridSpan w:val="2"/>
            <w:tcBorders>
              <w:top w:val="single" w:sz="4" w:space="0" w:color="auto"/>
              <w:left w:val="nil"/>
              <w:bottom w:val="single" w:sz="4" w:space="0" w:color="auto"/>
              <w:right w:val="nil"/>
            </w:tcBorders>
            <w:shd w:val="clear" w:color="auto" w:fill="auto"/>
            <w:noWrap/>
            <w:vAlign w:val="bottom"/>
          </w:tcPr>
          <w:p w14:paraId="4B17618A" w14:textId="77777777" w:rsidR="0065555D" w:rsidRPr="00E55519" w:rsidRDefault="0065555D" w:rsidP="00FB3903">
            <w:pPr>
              <w:spacing w:after="0" w:line="240" w:lineRule="auto"/>
              <w:jc w:val="center"/>
              <w:rPr>
                <w:rFonts w:eastAsia="Times New Roman" w:cs="Times New Roman"/>
                <w:color w:val="000000"/>
                <w:sz w:val="20"/>
                <w:szCs w:val="20"/>
              </w:rPr>
            </w:pPr>
            <w:r w:rsidRPr="00E55519">
              <w:rPr>
                <w:rFonts w:eastAsia="Times New Roman" w:cs="Times New Roman"/>
                <w:color w:val="000000"/>
                <w:sz w:val="20"/>
                <w:szCs w:val="20"/>
              </w:rPr>
              <w:t>L1 Specification 1</w:t>
            </w:r>
          </w:p>
        </w:tc>
        <w:tc>
          <w:tcPr>
            <w:tcW w:w="0" w:type="auto"/>
            <w:gridSpan w:val="2"/>
            <w:tcBorders>
              <w:top w:val="single" w:sz="4" w:space="0" w:color="auto"/>
              <w:left w:val="nil"/>
              <w:bottom w:val="single" w:sz="4" w:space="0" w:color="auto"/>
              <w:right w:val="nil"/>
            </w:tcBorders>
            <w:shd w:val="clear" w:color="auto" w:fill="auto"/>
            <w:noWrap/>
            <w:vAlign w:val="bottom"/>
          </w:tcPr>
          <w:p w14:paraId="5B05CC9D" w14:textId="77777777" w:rsidR="0065555D" w:rsidRPr="00E55519" w:rsidRDefault="0065555D" w:rsidP="00FB3903">
            <w:pPr>
              <w:spacing w:after="0" w:line="240" w:lineRule="auto"/>
              <w:jc w:val="center"/>
              <w:rPr>
                <w:rFonts w:eastAsia="Times New Roman" w:cs="Times New Roman"/>
                <w:color w:val="000000"/>
                <w:sz w:val="20"/>
                <w:szCs w:val="20"/>
              </w:rPr>
            </w:pPr>
            <w:r w:rsidRPr="00E55519">
              <w:rPr>
                <w:rFonts w:eastAsia="Times New Roman" w:cs="Times New Roman"/>
                <w:color w:val="000000"/>
                <w:sz w:val="20"/>
                <w:szCs w:val="20"/>
              </w:rPr>
              <w:t>L1 Specification 2</w:t>
            </w:r>
          </w:p>
        </w:tc>
      </w:tr>
      <w:tr w:rsidR="0065555D" w:rsidRPr="00E55519" w14:paraId="7F8AAA1D" w14:textId="77777777" w:rsidTr="00FB3903">
        <w:trPr>
          <w:trHeight w:val="264"/>
          <w:jc w:val="center"/>
        </w:trPr>
        <w:tc>
          <w:tcPr>
            <w:tcW w:w="0" w:type="auto"/>
            <w:vMerge/>
            <w:tcBorders>
              <w:left w:val="nil"/>
              <w:bottom w:val="single" w:sz="4" w:space="0" w:color="auto"/>
              <w:right w:val="nil"/>
            </w:tcBorders>
            <w:shd w:val="clear" w:color="auto" w:fill="auto"/>
            <w:noWrap/>
            <w:vAlign w:val="bottom"/>
            <w:hideMark/>
          </w:tcPr>
          <w:p w14:paraId="529D3A39" w14:textId="77777777" w:rsidR="0065555D" w:rsidRPr="00E55519" w:rsidRDefault="0065555D" w:rsidP="00FB3903">
            <w:pPr>
              <w:spacing w:after="0" w:line="240" w:lineRule="auto"/>
              <w:rPr>
                <w:rFonts w:eastAsia="Times New Roman" w:cs="Times New Roman"/>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74CF9125" w14:textId="77777777" w:rsidR="0065555D" w:rsidRPr="00E55519" w:rsidRDefault="0065555D" w:rsidP="00FB3903">
            <w:pPr>
              <w:spacing w:after="0" w:line="240" w:lineRule="auto"/>
              <w:jc w:val="center"/>
              <w:rPr>
                <w:rFonts w:eastAsia="Times New Roman" w:cs="Times New Roman"/>
                <w:color w:val="000000"/>
                <w:sz w:val="20"/>
                <w:szCs w:val="20"/>
              </w:rPr>
            </w:pPr>
            <w:r w:rsidRPr="00E55519">
              <w:rPr>
                <w:rFonts w:eastAsia="Times New Roman" w:cs="Times New Roman"/>
                <w:color w:val="000000"/>
                <w:sz w:val="20"/>
                <w:szCs w:val="20"/>
              </w:rPr>
              <w:t>Coefficient</w:t>
            </w:r>
          </w:p>
          <w:p w14:paraId="5A001C9F" w14:textId="77777777" w:rsidR="0065555D" w:rsidRPr="00E55519" w:rsidRDefault="0065555D" w:rsidP="00FB3903">
            <w:pPr>
              <w:spacing w:after="0" w:line="240" w:lineRule="auto"/>
              <w:jc w:val="center"/>
              <w:rPr>
                <w:rFonts w:eastAsia="Times New Roman" w:cs="Times New Roman"/>
                <w:sz w:val="20"/>
                <w:szCs w:val="20"/>
              </w:rPr>
            </w:pPr>
            <w:r w:rsidRPr="00E55519">
              <w:rPr>
                <w:rFonts w:eastAsia="Times New Roman" w:cs="Times New Roman"/>
                <w:color w:val="000000"/>
                <w:sz w:val="20"/>
                <w:szCs w:val="20"/>
              </w:rPr>
              <w:t>Estimate</w:t>
            </w:r>
          </w:p>
        </w:tc>
        <w:tc>
          <w:tcPr>
            <w:tcW w:w="0" w:type="auto"/>
            <w:tcBorders>
              <w:top w:val="single" w:sz="4" w:space="0" w:color="auto"/>
              <w:left w:val="nil"/>
              <w:bottom w:val="single" w:sz="4" w:space="0" w:color="auto"/>
              <w:right w:val="nil"/>
            </w:tcBorders>
            <w:shd w:val="clear" w:color="auto" w:fill="auto"/>
            <w:noWrap/>
            <w:vAlign w:val="bottom"/>
            <w:hideMark/>
          </w:tcPr>
          <w:p w14:paraId="5156D40E" w14:textId="77777777" w:rsidR="0065555D" w:rsidRPr="00E55519" w:rsidRDefault="0065555D" w:rsidP="00FB3903">
            <w:pPr>
              <w:spacing w:after="0" w:line="240" w:lineRule="auto"/>
              <w:jc w:val="center"/>
              <w:rPr>
                <w:rFonts w:eastAsia="Times New Roman" w:cs="Times New Roman"/>
                <w:sz w:val="20"/>
                <w:szCs w:val="20"/>
              </w:rPr>
            </w:pPr>
            <w:r w:rsidRPr="00E55519">
              <w:rPr>
                <w:rFonts w:eastAsia="Times New Roman" w:cs="Times New Roman"/>
                <w:color w:val="000000"/>
                <w:sz w:val="20"/>
                <w:szCs w:val="20"/>
              </w:rPr>
              <w:t>t-stat</w:t>
            </w:r>
          </w:p>
        </w:tc>
        <w:tc>
          <w:tcPr>
            <w:tcW w:w="0" w:type="auto"/>
            <w:tcBorders>
              <w:top w:val="single" w:sz="4" w:space="0" w:color="auto"/>
              <w:left w:val="nil"/>
              <w:bottom w:val="single" w:sz="4" w:space="0" w:color="auto"/>
              <w:right w:val="nil"/>
            </w:tcBorders>
            <w:shd w:val="clear" w:color="auto" w:fill="auto"/>
            <w:noWrap/>
            <w:vAlign w:val="bottom"/>
            <w:hideMark/>
          </w:tcPr>
          <w:p w14:paraId="0B120431" w14:textId="77777777" w:rsidR="0065555D" w:rsidRPr="00E55519" w:rsidRDefault="0065555D" w:rsidP="00FB3903">
            <w:pPr>
              <w:spacing w:after="0" w:line="240" w:lineRule="auto"/>
              <w:jc w:val="center"/>
              <w:rPr>
                <w:rFonts w:eastAsia="Times New Roman" w:cs="Times New Roman"/>
                <w:color w:val="000000"/>
                <w:sz w:val="20"/>
                <w:szCs w:val="20"/>
              </w:rPr>
            </w:pPr>
            <w:r w:rsidRPr="00E55519">
              <w:rPr>
                <w:rFonts w:eastAsia="Times New Roman" w:cs="Times New Roman"/>
                <w:color w:val="000000"/>
                <w:sz w:val="20"/>
                <w:szCs w:val="20"/>
              </w:rPr>
              <w:t>Coefficient</w:t>
            </w:r>
          </w:p>
          <w:p w14:paraId="4D377CE1" w14:textId="77777777" w:rsidR="0065555D" w:rsidRPr="00E55519" w:rsidRDefault="0065555D" w:rsidP="00FB3903">
            <w:pPr>
              <w:spacing w:after="0" w:line="240" w:lineRule="auto"/>
              <w:jc w:val="center"/>
              <w:rPr>
                <w:rFonts w:eastAsia="Times New Roman" w:cs="Times New Roman"/>
                <w:sz w:val="20"/>
                <w:szCs w:val="20"/>
              </w:rPr>
            </w:pPr>
            <w:r w:rsidRPr="00E55519">
              <w:rPr>
                <w:rFonts w:eastAsia="Times New Roman" w:cs="Times New Roman"/>
                <w:color w:val="000000"/>
                <w:sz w:val="20"/>
                <w:szCs w:val="20"/>
              </w:rPr>
              <w:t>Estimate</w:t>
            </w:r>
          </w:p>
        </w:tc>
        <w:tc>
          <w:tcPr>
            <w:tcW w:w="0" w:type="auto"/>
            <w:tcBorders>
              <w:top w:val="single" w:sz="4" w:space="0" w:color="auto"/>
              <w:left w:val="nil"/>
              <w:bottom w:val="single" w:sz="4" w:space="0" w:color="auto"/>
              <w:right w:val="nil"/>
            </w:tcBorders>
            <w:shd w:val="clear" w:color="auto" w:fill="auto"/>
            <w:noWrap/>
            <w:vAlign w:val="bottom"/>
            <w:hideMark/>
          </w:tcPr>
          <w:p w14:paraId="64BE9C9A" w14:textId="77777777" w:rsidR="0065555D" w:rsidRPr="00E55519" w:rsidRDefault="0065555D" w:rsidP="00FB3903">
            <w:pPr>
              <w:spacing w:after="0" w:line="240" w:lineRule="auto"/>
              <w:jc w:val="center"/>
              <w:rPr>
                <w:rFonts w:eastAsia="Times New Roman" w:cs="Times New Roman"/>
                <w:sz w:val="20"/>
                <w:szCs w:val="20"/>
              </w:rPr>
            </w:pPr>
            <w:r w:rsidRPr="00E55519">
              <w:rPr>
                <w:rFonts w:eastAsia="Times New Roman" w:cs="Times New Roman"/>
                <w:color w:val="000000"/>
                <w:sz w:val="20"/>
                <w:szCs w:val="20"/>
              </w:rPr>
              <w:t>t-stat</w:t>
            </w:r>
          </w:p>
        </w:tc>
      </w:tr>
      <w:tr w:rsidR="0065555D" w:rsidRPr="00E55519" w14:paraId="1E67FE8C"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05AD2981" w14:textId="77777777" w:rsidR="0065555D" w:rsidRPr="00E55519" w:rsidRDefault="0065555D" w:rsidP="007049D5">
            <w:pPr>
              <w:spacing w:after="0" w:line="240" w:lineRule="auto"/>
              <w:jc w:val="left"/>
              <w:rPr>
                <w:rFonts w:eastAsia="Times New Roman" w:cs="Times New Roman"/>
                <w:color w:val="000000"/>
                <w:sz w:val="20"/>
                <w:szCs w:val="20"/>
              </w:rPr>
            </w:pPr>
            <w:r w:rsidRPr="00E55519">
              <w:rPr>
                <w:rFonts w:eastAsia="Times New Roman" w:cs="Times New Roman"/>
                <w:color w:val="000000"/>
                <w:sz w:val="20"/>
                <w:szCs w:val="20"/>
              </w:rPr>
              <w:t>D(L1 Category 1)</w:t>
            </w:r>
          </w:p>
        </w:tc>
        <w:tc>
          <w:tcPr>
            <w:tcW w:w="0" w:type="auto"/>
            <w:tcBorders>
              <w:top w:val="nil"/>
              <w:left w:val="nil"/>
              <w:bottom w:val="nil"/>
              <w:right w:val="nil"/>
            </w:tcBorders>
            <w:shd w:val="clear" w:color="auto" w:fill="auto"/>
            <w:noWrap/>
            <w:vAlign w:val="center"/>
            <w:hideMark/>
          </w:tcPr>
          <w:p w14:paraId="5F1DDCDA" w14:textId="77777777" w:rsidR="0065555D" w:rsidRPr="00E55519" w:rsidRDefault="0065555D" w:rsidP="007049D5">
            <w:pPr>
              <w:spacing w:line="240" w:lineRule="auto"/>
              <w:jc w:val="center"/>
              <w:rPr>
                <w:sz w:val="20"/>
                <w:szCs w:val="20"/>
              </w:rPr>
            </w:pPr>
            <w:r w:rsidRPr="00E55519">
              <w:rPr>
                <w:sz w:val="20"/>
                <w:szCs w:val="20"/>
              </w:rPr>
              <w:t>0.0528</w:t>
            </w:r>
          </w:p>
        </w:tc>
        <w:tc>
          <w:tcPr>
            <w:tcW w:w="0" w:type="auto"/>
            <w:tcBorders>
              <w:top w:val="nil"/>
              <w:left w:val="nil"/>
              <w:bottom w:val="nil"/>
              <w:right w:val="nil"/>
            </w:tcBorders>
            <w:shd w:val="clear" w:color="auto" w:fill="auto"/>
            <w:noWrap/>
            <w:vAlign w:val="center"/>
            <w:hideMark/>
          </w:tcPr>
          <w:p w14:paraId="17AE90BB" w14:textId="77777777" w:rsidR="0065555D" w:rsidRPr="00E55519" w:rsidRDefault="0065555D" w:rsidP="007049D5">
            <w:pPr>
              <w:spacing w:line="240" w:lineRule="auto"/>
              <w:jc w:val="center"/>
              <w:rPr>
                <w:sz w:val="20"/>
                <w:szCs w:val="20"/>
              </w:rPr>
            </w:pPr>
            <w:r w:rsidRPr="00E55519">
              <w:rPr>
                <w:sz w:val="20"/>
                <w:szCs w:val="20"/>
              </w:rPr>
              <w:t>(3.9491)</w:t>
            </w:r>
          </w:p>
        </w:tc>
        <w:tc>
          <w:tcPr>
            <w:tcW w:w="0" w:type="auto"/>
            <w:tcBorders>
              <w:top w:val="nil"/>
              <w:left w:val="nil"/>
              <w:bottom w:val="nil"/>
              <w:right w:val="nil"/>
            </w:tcBorders>
            <w:shd w:val="clear" w:color="auto" w:fill="auto"/>
            <w:noWrap/>
            <w:vAlign w:val="center"/>
            <w:hideMark/>
          </w:tcPr>
          <w:p w14:paraId="1EF3213D" w14:textId="77777777" w:rsidR="0065555D" w:rsidRPr="00E55519" w:rsidRDefault="0065555D" w:rsidP="007049D5">
            <w:pPr>
              <w:spacing w:line="240" w:lineRule="auto"/>
              <w:jc w:val="center"/>
              <w:rPr>
                <w:sz w:val="20"/>
                <w:szCs w:val="20"/>
              </w:rPr>
            </w:pPr>
            <w:r w:rsidRPr="00E55519">
              <w:rPr>
                <w:sz w:val="20"/>
                <w:szCs w:val="20"/>
              </w:rPr>
              <w:t>0.0579</w:t>
            </w:r>
          </w:p>
        </w:tc>
        <w:tc>
          <w:tcPr>
            <w:tcW w:w="0" w:type="auto"/>
            <w:tcBorders>
              <w:top w:val="nil"/>
              <w:left w:val="nil"/>
              <w:bottom w:val="nil"/>
              <w:right w:val="nil"/>
            </w:tcBorders>
            <w:shd w:val="clear" w:color="auto" w:fill="auto"/>
            <w:noWrap/>
            <w:vAlign w:val="center"/>
            <w:hideMark/>
          </w:tcPr>
          <w:p w14:paraId="704EE9B0" w14:textId="77777777" w:rsidR="0065555D" w:rsidRPr="00E55519" w:rsidRDefault="0065555D" w:rsidP="007049D5">
            <w:pPr>
              <w:spacing w:line="240" w:lineRule="auto"/>
              <w:jc w:val="center"/>
              <w:rPr>
                <w:sz w:val="20"/>
                <w:szCs w:val="20"/>
              </w:rPr>
            </w:pPr>
            <w:r w:rsidRPr="00E55519">
              <w:rPr>
                <w:sz w:val="20"/>
                <w:szCs w:val="20"/>
              </w:rPr>
              <w:t>(2.2524)</w:t>
            </w:r>
          </w:p>
        </w:tc>
      </w:tr>
      <w:tr w:rsidR="0065555D" w:rsidRPr="00E55519" w14:paraId="7D20FE12"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169D1335" w14:textId="77777777" w:rsidR="0065555D" w:rsidRPr="00E55519" w:rsidRDefault="0065555D" w:rsidP="007049D5">
            <w:pPr>
              <w:spacing w:after="0" w:line="240" w:lineRule="auto"/>
              <w:jc w:val="left"/>
              <w:rPr>
                <w:rFonts w:eastAsia="Times New Roman" w:cs="Times New Roman"/>
                <w:color w:val="000000"/>
                <w:sz w:val="20"/>
                <w:szCs w:val="20"/>
              </w:rPr>
            </w:pPr>
            <w:r w:rsidRPr="00E55519">
              <w:rPr>
                <w:rFonts w:eastAsia="Times New Roman" w:cs="Times New Roman"/>
                <w:color w:val="000000"/>
                <w:sz w:val="20"/>
                <w:szCs w:val="20"/>
              </w:rPr>
              <w:t>D(L1 Category 1) × D(L1 Rollover)</w:t>
            </w:r>
          </w:p>
        </w:tc>
        <w:tc>
          <w:tcPr>
            <w:tcW w:w="0" w:type="auto"/>
            <w:tcBorders>
              <w:top w:val="nil"/>
              <w:left w:val="nil"/>
              <w:bottom w:val="nil"/>
              <w:right w:val="nil"/>
            </w:tcBorders>
            <w:shd w:val="clear" w:color="auto" w:fill="auto"/>
            <w:noWrap/>
            <w:vAlign w:val="center"/>
            <w:hideMark/>
          </w:tcPr>
          <w:p w14:paraId="22F6A3A2" w14:textId="77777777" w:rsidR="0065555D" w:rsidRPr="00E55519" w:rsidRDefault="0065555D" w:rsidP="007049D5">
            <w:pPr>
              <w:spacing w:line="240" w:lineRule="auto"/>
              <w:jc w:val="center"/>
              <w:rPr>
                <w:sz w:val="20"/>
                <w:szCs w:val="20"/>
              </w:rPr>
            </w:pPr>
          </w:p>
        </w:tc>
        <w:tc>
          <w:tcPr>
            <w:tcW w:w="0" w:type="auto"/>
            <w:tcBorders>
              <w:top w:val="nil"/>
              <w:left w:val="nil"/>
              <w:bottom w:val="nil"/>
              <w:right w:val="nil"/>
            </w:tcBorders>
            <w:shd w:val="clear" w:color="auto" w:fill="auto"/>
            <w:noWrap/>
            <w:vAlign w:val="center"/>
            <w:hideMark/>
          </w:tcPr>
          <w:p w14:paraId="6AF04D59" w14:textId="77777777" w:rsidR="0065555D" w:rsidRPr="00E55519" w:rsidRDefault="0065555D" w:rsidP="007049D5">
            <w:pPr>
              <w:spacing w:line="240" w:lineRule="auto"/>
              <w:jc w:val="center"/>
              <w:rPr>
                <w:sz w:val="20"/>
                <w:szCs w:val="20"/>
              </w:rPr>
            </w:pPr>
          </w:p>
        </w:tc>
        <w:tc>
          <w:tcPr>
            <w:tcW w:w="0" w:type="auto"/>
            <w:tcBorders>
              <w:top w:val="nil"/>
              <w:left w:val="nil"/>
              <w:bottom w:val="nil"/>
              <w:right w:val="nil"/>
            </w:tcBorders>
            <w:shd w:val="clear" w:color="auto" w:fill="auto"/>
            <w:noWrap/>
            <w:vAlign w:val="center"/>
            <w:hideMark/>
          </w:tcPr>
          <w:p w14:paraId="1FD444D2" w14:textId="77777777" w:rsidR="0065555D" w:rsidRPr="00E55519" w:rsidRDefault="0065555D" w:rsidP="007049D5">
            <w:pPr>
              <w:spacing w:line="240" w:lineRule="auto"/>
              <w:jc w:val="center"/>
              <w:rPr>
                <w:sz w:val="20"/>
                <w:szCs w:val="20"/>
              </w:rPr>
            </w:pPr>
            <w:r w:rsidRPr="00E55519">
              <w:rPr>
                <w:sz w:val="20"/>
                <w:szCs w:val="20"/>
              </w:rPr>
              <w:t>-0.0065</w:t>
            </w:r>
          </w:p>
        </w:tc>
        <w:tc>
          <w:tcPr>
            <w:tcW w:w="0" w:type="auto"/>
            <w:tcBorders>
              <w:top w:val="nil"/>
              <w:left w:val="nil"/>
              <w:bottom w:val="nil"/>
              <w:right w:val="nil"/>
            </w:tcBorders>
            <w:shd w:val="clear" w:color="auto" w:fill="auto"/>
            <w:noWrap/>
            <w:vAlign w:val="center"/>
            <w:hideMark/>
          </w:tcPr>
          <w:p w14:paraId="2D60FEF0" w14:textId="77777777" w:rsidR="0065555D" w:rsidRPr="00E55519" w:rsidRDefault="0065555D" w:rsidP="007049D5">
            <w:pPr>
              <w:spacing w:line="240" w:lineRule="auto"/>
              <w:jc w:val="center"/>
              <w:rPr>
                <w:sz w:val="20"/>
                <w:szCs w:val="20"/>
              </w:rPr>
            </w:pPr>
            <w:r w:rsidRPr="00E55519">
              <w:rPr>
                <w:sz w:val="20"/>
                <w:szCs w:val="20"/>
              </w:rPr>
              <w:t>(-0.2906)</w:t>
            </w:r>
          </w:p>
        </w:tc>
      </w:tr>
      <w:tr w:rsidR="0065555D" w:rsidRPr="00E55519" w14:paraId="41562C24"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75C00447" w14:textId="77777777" w:rsidR="0065555D" w:rsidRPr="00E55519" w:rsidRDefault="0065555D" w:rsidP="007049D5">
            <w:pPr>
              <w:spacing w:after="0" w:line="240" w:lineRule="auto"/>
              <w:jc w:val="left"/>
              <w:rPr>
                <w:rFonts w:eastAsia="Times New Roman" w:cs="Times New Roman"/>
                <w:color w:val="000000"/>
                <w:sz w:val="20"/>
                <w:szCs w:val="20"/>
              </w:rPr>
            </w:pPr>
            <w:r w:rsidRPr="00E55519">
              <w:rPr>
                <w:rFonts w:eastAsia="Times New Roman" w:cs="Times New Roman"/>
                <w:color w:val="000000"/>
                <w:sz w:val="20"/>
                <w:szCs w:val="20"/>
              </w:rPr>
              <w:t>D(L1 Category 2)</w:t>
            </w:r>
          </w:p>
        </w:tc>
        <w:tc>
          <w:tcPr>
            <w:tcW w:w="0" w:type="auto"/>
            <w:tcBorders>
              <w:top w:val="nil"/>
              <w:left w:val="nil"/>
              <w:bottom w:val="nil"/>
              <w:right w:val="nil"/>
            </w:tcBorders>
            <w:shd w:val="clear" w:color="auto" w:fill="auto"/>
            <w:noWrap/>
            <w:vAlign w:val="center"/>
            <w:hideMark/>
          </w:tcPr>
          <w:p w14:paraId="62710EDA" w14:textId="77777777" w:rsidR="0065555D" w:rsidRPr="00E55519" w:rsidRDefault="0065555D" w:rsidP="007049D5">
            <w:pPr>
              <w:spacing w:line="240" w:lineRule="auto"/>
              <w:jc w:val="center"/>
              <w:rPr>
                <w:sz w:val="20"/>
                <w:szCs w:val="20"/>
              </w:rPr>
            </w:pPr>
            <w:r w:rsidRPr="00E55519">
              <w:rPr>
                <w:sz w:val="20"/>
                <w:szCs w:val="20"/>
              </w:rPr>
              <w:t>0.0229</w:t>
            </w:r>
          </w:p>
        </w:tc>
        <w:tc>
          <w:tcPr>
            <w:tcW w:w="0" w:type="auto"/>
            <w:tcBorders>
              <w:top w:val="nil"/>
              <w:left w:val="nil"/>
              <w:bottom w:val="nil"/>
              <w:right w:val="nil"/>
            </w:tcBorders>
            <w:shd w:val="clear" w:color="auto" w:fill="auto"/>
            <w:noWrap/>
            <w:vAlign w:val="center"/>
            <w:hideMark/>
          </w:tcPr>
          <w:p w14:paraId="2653B32A" w14:textId="77777777" w:rsidR="0065555D" w:rsidRPr="00E55519" w:rsidRDefault="0065555D" w:rsidP="007049D5">
            <w:pPr>
              <w:spacing w:line="240" w:lineRule="auto"/>
              <w:jc w:val="center"/>
              <w:rPr>
                <w:sz w:val="20"/>
                <w:szCs w:val="20"/>
              </w:rPr>
            </w:pPr>
            <w:r w:rsidRPr="00E55519">
              <w:rPr>
                <w:sz w:val="20"/>
                <w:szCs w:val="20"/>
              </w:rPr>
              <w:t>(1.9628)</w:t>
            </w:r>
          </w:p>
        </w:tc>
        <w:tc>
          <w:tcPr>
            <w:tcW w:w="0" w:type="auto"/>
            <w:tcBorders>
              <w:top w:val="nil"/>
              <w:left w:val="nil"/>
              <w:bottom w:val="nil"/>
              <w:right w:val="nil"/>
            </w:tcBorders>
            <w:shd w:val="clear" w:color="auto" w:fill="auto"/>
            <w:noWrap/>
            <w:vAlign w:val="center"/>
            <w:hideMark/>
          </w:tcPr>
          <w:p w14:paraId="740D104C" w14:textId="77777777" w:rsidR="0065555D" w:rsidRPr="00E55519" w:rsidRDefault="0065555D" w:rsidP="007049D5">
            <w:pPr>
              <w:spacing w:line="240" w:lineRule="auto"/>
              <w:jc w:val="center"/>
              <w:rPr>
                <w:sz w:val="20"/>
                <w:szCs w:val="20"/>
              </w:rPr>
            </w:pPr>
            <w:r w:rsidRPr="00E55519">
              <w:rPr>
                <w:sz w:val="20"/>
                <w:szCs w:val="20"/>
              </w:rPr>
              <w:t>0.0136</w:t>
            </w:r>
          </w:p>
        </w:tc>
        <w:tc>
          <w:tcPr>
            <w:tcW w:w="0" w:type="auto"/>
            <w:tcBorders>
              <w:top w:val="nil"/>
              <w:left w:val="nil"/>
              <w:bottom w:val="nil"/>
              <w:right w:val="nil"/>
            </w:tcBorders>
            <w:shd w:val="clear" w:color="auto" w:fill="auto"/>
            <w:noWrap/>
            <w:vAlign w:val="center"/>
            <w:hideMark/>
          </w:tcPr>
          <w:p w14:paraId="34371CBC" w14:textId="77777777" w:rsidR="0065555D" w:rsidRPr="00E55519" w:rsidRDefault="0065555D" w:rsidP="007049D5">
            <w:pPr>
              <w:spacing w:line="240" w:lineRule="auto"/>
              <w:jc w:val="center"/>
              <w:rPr>
                <w:sz w:val="20"/>
                <w:szCs w:val="20"/>
              </w:rPr>
            </w:pPr>
            <w:r w:rsidRPr="00E55519">
              <w:rPr>
                <w:sz w:val="20"/>
                <w:szCs w:val="20"/>
              </w:rPr>
              <w:t>(0.9895)</w:t>
            </w:r>
          </w:p>
        </w:tc>
      </w:tr>
      <w:tr w:rsidR="0065555D" w:rsidRPr="00E55519" w14:paraId="0FAD514F"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21E844BC" w14:textId="77777777" w:rsidR="0065555D" w:rsidRPr="00E55519" w:rsidRDefault="0065555D" w:rsidP="007049D5">
            <w:pPr>
              <w:spacing w:after="0" w:line="240" w:lineRule="auto"/>
              <w:jc w:val="left"/>
              <w:rPr>
                <w:rFonts w:eastAsia="Times New Roman" w:cs="Times New Roman"/>
                <w:color w:val="000000"/>
                <w:sz w:val="20"/>
                <w:szCs w:val="20"/>
              </w:rPr>
            </w:pPr>
            <w:r w:rsidRPr="00E55519">
              <w:rPr>
                <w:rFonts w:eastAsia="Times New Roman" w:cs="Times New Roman"/>
                <w:color w:val="000000"/>
                <w:sz w:val="20"/>
                <w:szCs w:val="20"/>
              </w:rPr>
              <w:t>D(L1 Category 2) × D(L1 Rollover)</w:t>
            </w:r>
          </w:p>
        </w:tc>
        <w:tc>
          <w:tcPr>
            <w:tcW w:w="0" w:type="auto"/>
            <w:tcBorders>
              <w:top w:val="nil"/>
              <w:left w:val="nil"/>
              <w:bottom w:val="nil"/>
              <w:right w:val="nil"/>
            </w:tcBorders>
            <w:shd w:val="clear" w:color="auto" w:fill="auto"/>
            <w:noWrap/>
            <w:vAlign w:val="center"/>
            <w:hideMark/>
          </w:tcPr>
          <w:p w14:paraId="66A1AA19" w14:textId="77777777" w:rsidR="0065555D" w:rsidRPr="00E55519" w:rsidRDefault="0065555D" w:rsidP="007049D5">
            <w:pPr>
              <w:spacing w:line="240" w:lineRule="auto"/>
              <w:jc w:val="center"/>
              <w:rPr>
                <w:sz w:val="20"/>
                <w:szCs w:val="20"/>
              </w:rPr>
            </w:pPr>
          </w:p>
        </w:tc>
        <w:tc>
          <w:tcPr>
            <w:tcW w:w="0" w:type="auto"/>
            <w:tcBorders>
              <w:top w:val="nil"/>
              <w:left w:val="nil"/>
              <w:bottom w:val="nil"/>
              <w:right w:val="nil"/>
            </w:tcBorders>
            <w:shd w:val="clear" w:color="auto" w:fill="auto"/>
            <w:noWrap/>
            <w:vAlign w:val="center"/>
            <w:hideMark/>
          </w:tcPr>
          <w:p w14:paraId="63077E10" w14:textId="77777777" w:rsidR="0065555D" w:rsidRPr="00E55519" w:rsidRDefault="0065555D" w:rsidP="007049D5">
            <w:pPr>
              <w:spacing w:line="240" w:lineRule="auto"/>
              <w:jc w:val="center"/>
              <w:rPr>
                <w:sz w:val="20"/>
                <w:szCs w:val="20"/>
              </w:rPr>
            </w:pPr>
          </w:p>
        </w:tc>
        <w:tc>
          <w:tcPr>
            <w:tcW w:w="0" w:type="auto"/>
            <w:tcBorders>
              <w:top w:val="nil"/>
              <w:left w:val="nil"/>
              <w:bottom w:val="nil"/>
              <w:right w:val="nil"/>
            </w:tcBorders>
            <w:shd w:val="clear" w:color="auto" w:fill="auto"/>
            <w:noWrap/>
            <w:vAlign w:val="center"/>
            <w:hideMark/>
          </w:tcPr>
          <w:p w14:paraId="317C04C1" w14:textId="77777777" w:rsidR="0065555D" w:rsidRPr="00E55519" w:rsidRDefault="0065555D" w:rsidP="007049D5">
            <w:pPr>
              <w:spacing w:line="240" w:lineRule="auto"/>
              <w:jc w:val="center"/>
              <w:rPr>
                <w:sz w:val="20"/>
                <w:szCs w:val="20"/>
              </w:rPr>
            </w:pPr>
            <w:r w:rsidRPr="00E55519">
              <w:rPr>
                <w:sz w:val="20"/>
                <w:szCs w:val="20"/>
              </w:rPr>
              <w:t>0.0133</w:t>
            </w:r>
          </w:p>
        </w:tc>
        <w:tc>
          <w:tcPr>
            <w:tcW w:w="0" w:type="auto"/>
            <w:tcBorders>
              <w:top w:val="nil"/>
              <w:left w:val="nil"/>
              <w:bottom w:val="nil"/>
              <w:right w:val="nil"/>
            </w:tcBorders>
            <w:shd w:val="clear" w:color="auto" w:fill="auto"/>
            <w:noWrap/>
            <w:vAlign w:val="center"/>
            <w:hideMark/>
          </w:tcPr>
          <w:p w14:paraId="7DCF2AE3" w14:textId="77777777" w:rsidR="0065555D" w:rsidRPr="00E55519" w:rsidRDefault="0065555D" w:rsidP="007049D5">
            <w:pPr>
              <w:spacing w:line="240" w:lineRule="auto"/>
              <w:jc w:val="center"/>
              <w:rPr>
                <w:sz w:val="20"/>
                <w:szCs w:val="20"/>
              </w:rPr>
            </w:pPr>
            <w:r w:rsidRPr="00E55519">
              <w:rPr>
                <w:sz w:val="20"/>
                <w:szCs w:val="20"/>
              </w:rPr>
              <w:t>(1.1957)</w:t>
            </w:r>
          </w:p>
        </w:tc>
      </w:tr>
      <w:tr w:rsidR="0065555D" w:rsidRPr="00E55519" w14:paraId="05E9B7CA"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07150D82" w14:textId="77777777" w:rsidR="0065555D" w:rsidRPr="00E55519" w:rsidRDefault="0065555D" w:rsidP="007049D5">
            <w:pPr>
              <w:spacing w:after="0" w:line="240" w:lineRule="auto"/>
              <w:jc w:val="left"/>
              <w:rPr>
                <w:rFonts w:eastAsia="Times New Roman" w:cs="Times New Roman"/>
                <w:color w:val="000000"/>
                <w:sz w:val="20"/>
                <w:szCs w:val="20"/>
              </w:rPr>
            </w:pPr>
            <w:r w:rsidRPr="00E55519">
              <w:rPr>
                <w:rFonts w:eastAsia="Times New Roman" w:cs="Times New Roman"/>
                <w:color w:val="000000"/>
                <w:sz w:val="20"/>
                <w:szCs w:val="20"/>
              </w:rPr>
              <w:t>D(L1 Category 3)</w:t>
            </w:r>
          </w:p>
        </w:tc>
        <w:tc>
          <w:tcPr>
            <w:tcW w:w="0" w:type="auto"/>
            <w:tcBorders>
              <w:top w:val="nil"/>
              <w:left w:val="nil"/>
              <w:bottom w:val="nil"/>
              <w:right w:val="nil"/>
            </w:tcBorders>
            <w:shd w:val="clear" w:color="auto" w:fill="auto"/>
            <w:noWrap/>
            <w:vAlign w:val="center"/>
            <w:hideMark/>
          </w:tcPr>
          <w:p w14:paraId="4DB3E47B" w14:textId="77777777" w:rsidR="0065555D" w:rsidRPr="00E55519" w:rsidRDefault="0065555D" w:rsidP="007049D5">
            <w:pPr>
              <w:spacing w:line="240" w:lineRule="auto"/>
              <w:jc w:val="center"/>
              <w:rPr>
                <w:sz w:val="20"/>
                <w:szCs w:val="20"/>
              </w:rPr>
            </w:pPr>
            <w:r w:rsidRPr="00E55519">
              <w:rPr>
                <w:sz w:val="20"/>
                <w:szCs w:val="20"/>
              </w:rPr>
              <w:t>-0.0183</w:t>
            </w:r>
          </w:p>
        </w:tc>
        <w:tc>
          <w:tcPr>
            <w:tcW w:w="0" w:type="auto"/>
            <w:tcBorders>
              <w:top w:val="nil"/>
              <w:left w:val="nil"/>
              <w:bottom w:val="nil"/>
              <w:right w:val="nil"/>
            </w:tcBorders>
            <w:shd w:val="clear" w:color="auto" w:fill="auto"/>
            <w:noWrap/>
            <w:vAlign w:val="center"/>
            <w:hideMark/>
          </w:tcPr>
          <w:p w14:paraId="09511BA1" w14:textId="77777777" w:rsidR="0065555D" w:rsidRPr="00E55519" w:rsidRDefault="0065555D" w:rsidP="007049D5">
            <w:pPr>
              <w:spacing w:line="240" w:lineRule="auto"/>
              <w:jc w:val="center"/>
              <w:rPr>
                <w:sz w:val="20"/>
                <w:szCs w:val="20"/>
              </w:rPr>
            </w:pPr>
            <w:r w:rsidRPr="00E55519">
              <w:rPr>
                <w:sz w:val="20"/>
                <w:szCs w:val="20"/>
              </w:rPr>
              <w:t>(-1.3467)</w:t>
            </w:r>
          </w:p>
        </w:tc>
        <w:tc>
          <w:tcPr>
            <w:tcW w:w="0" w:type="auto"/>
            <w:tcBorders>
              <w:top w:val="nil"/>
              <w:left w:val="nil"/>
              <w:bottom w:val="nil"/>
              <w:right w:val="nil"/>
            </w:tcBorders>
            <w:shd w:val="clear" w:color="auto" w:fill="auto"/>
            <w:noWrap/>
            <w:vAlign w:val="center"/>
            <w:hideMark/>
          </w:tcPr>
          <w:p w14:paraId="079D93E8" w14:textId="77777777" w:rsidR="0065555D" w:rsidRPr="00E55519" w:rsidRDefault="0065555D" w:rsidP="007049D5">
            <w:pPr>
              <w:spacing w:line="240" w:lineRule="auto"/>
              <w:jc w:val="center"/>
              <w:rPr>
                <w:sz w:val="20"/>
                <w:szCs w:val="20"/>
              </w:rPr>
            </w:pPr>
            <w:r w:rsidRPr="00E55519">
              <w:rPr>
                <w:sz w:val="20"/>
                <w:szCs w:val="20"/>
              </w:rPr>
              <w:t>-0.0482</w:t>
            </w:r>
          </w:p>
        </w:tc>
        <w:tc>
          <w:tcPr>
            <w:tcW w:w="0" w:type="auto"/>
            <w:tcBorders>
              <w:top w:val="nil"/>
              <w:left w:val="nil"/>
              <w:bottom w:val="nil"/>
              <w:right w:val="nil"/>
            </w:tcBorders>
            <w:shd w:val="clear" w:color="auto" w:fill="auto"/>
            <w:noWrap/>
            <w:vAlign w:val="center"/>
            <w:hideMark/>
          </w:tcPr>
          <w:p w14:paraId="433FE966" w14:textId="77777777" w:rsidR="0065555D" w:rsidRPr="00E55519" w:rsidRDefault="0065555D" w:rsidP="007049D5">
            <w:pPr>
              <w:spacing w:line="240" w:lineRule="auto"/>
              <w:jc w:val="center"/>
              <w:rPr>
                <w:sz w:val="20"/>
                <w:szCs w:val="20"/>
              </w:rPr>
            </w:pPr>
            <w:r w:rsidRPr="00E55519">
              <w:rPr>
                <w:sz w:val="20"/>
                <w:szCs w:val="20"/>
              </w:rPr>
              <w:t>(-2.9054)</w:t>
            </w:r>
          </w:p>
        </w:tc>
      </w:tr>
      <w:tr w:rsidR="0065555D" w:rsidRPr="00E55519" w14:paraId="3035DCCF"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723C69AA" w14:textId="77777777" w:rsidR="0065555D" w:rsidRPr="00E55519" w:rsidRDefault="0065555D" w:rsidP="007049D5">
            <w:pPr>
              <w:spacing w:after="0" w:line="240" w:lineRule="auto"/>
              <w:jc w:val="left"/>
              <w:rPr>
                <w:rFonts w:eastAsia="Times New Roman" w:cs="Times New Roman"/>
                <w:color w:val="000000"/>
                <w:sz w:val="20"/>
                <w:szCs w:val="20"/>
              </w:rPr>
            </w:pPr>
            <w:r w:rsidRPr="00E55519">
              <w:rPr>
                <w:rFonts w:eastAsia="Times New Roman" w:cs="Times New Roman"/>
                <w:color w:val="000000"/>
                <w:sz w:val="20"/>
                <w:szCs w:val="20"/>
              </w:rPr>
              <w:t>D(L1 Category 3) × D(L1 Rollover)</w:t>
            </w:r>
          </w:p>
        </w:tc>
        <w:tc>
          <w:tcPr>
            <w:tcW w:w="0" w:type="auto"/>
            <w:tcBorders>
              <w:top w:val="nil"/>
              <w:left w:val="nil"/>
              <w:bottom w:val="nil"/>
              <w:right w:val="nil"/>
            </w:tcBorders>
            <w:shd w:val="clear" w:color="auto" w:fill="auto"/>
            <w:noWrap/>
            <w:vAlign w:val="center"/>
            <w:hideMark/>
          </w:tcPr>
          <w:p w14:paraId="12AEA22F" w14:textId="77777777" w:rsidR="0065555D" w:rsidRPr="00E55519" w:rsidRDefault="0065555D" w:rsidP="007049D5">
            <w:pPr>
              <w:spacing w:line="240" w:lineRule="auto"/>
              <w:jc w:val="center"/>
              <w:rPr>
                <w:sz w:val="20"/>
                <w:szCs w:val="20"/>
              </w:rPr>
            </w:pPr>
          </w:p>
        </w:tc>
        <w:tc>
          <w:tcPr>
            <w:tcW w:w="0" w:type="auto"/>
            <w:tcBorders>
              <w:top w:val="nil"/>
              <w:left w:val="nil"/>
              <w:bottom w:val="nil"/>
              <w:right w:val="nil"/>
            </w:tcBorders>
            <w:shd w:val="clear" w:color="auto" w:fill="auto"/>
            <w:noWrap/>
            <w:vAlign w:val="center"/>
            <w:hideMark/>
          </w:tcPr>
          <w:p w14:paraId="5090AFA1" w14:textId="77777777" w:rsidR="0065555D" w:rsidRPr="00E55519" w:rsidRDefault="0065555D" w:rsidP="007049D5">
            <w:pPr>
              <w:spacing w:line="240" w:lineRule="auto"/>
              <w:jc w:val="center"/>
              <w:rPr>
                <w:sz w:val="20"/>
                <w:szCs w:val="20"/>
              </w:rPr>
            </w:pPr>
          </w:p>
        </w:tc>
        <w:tc>
          <w:tcPr>
            <w:tcW w:w="0" w:type="auto"/>
            <w:tcBorders>
              <w:top w:val="nil"/>
              <w:left w:val="nil"/>
              <w:bottom w:val="nil"/>
              <w:right w:val="nil"/>
            </w:tcBorders>
            <w:shd w:val="clear" w:color="auto" w:fill="auto"/>
            <w:noWrap/>
            <w:vAlign w:val="center"/>
            <w:hideMark/>
          </w:tcPr>
          <w:p w14:paraId="59AE8310" w14:textId="77777777" w:rsidR="0065555D" w:rsidRPr="00E55519" w:rsidRDefault="0065555D" w:rsidP="007049D5">
            <w:pPr>
              <w:spacing w:line="240" w:lineRule="auto"/>
              <w:jc w:val="center"/>
              <w:rPr>
                <w:sz w:val="20"/>
                <w:szCs w:val="20"/>
              </w:rPr>
            </w:pPr>
            <w:r w:rsidRPr="00E55519">
              <w:rPr>
                <w:sz w:val="20"/>
                <w:szCs w:val="20"/>
              </w:rPr>
              <w:t>0.0529</w:t>
            </w:r>
          </w:p>
        </w:tc>
        <w:tc>
          <w:tcPr>
            <w:tcW w:w="0" w:type="auto"/>
            <w:tcBorders>
              <w:top w:val="nil"/>
              <w:left w:val="nil"/>
              <w:bottom w:val="nil"/>
              <w:right w:val="nil"/>
            </w:tcBorders>
            <w:shd w:val="clear" w:color="auto" w:fill="auto"/>
            <w:noWrap/>
            <w:vAlign w:val="center"/>
            <w:hideMark/>
          </w:tcPr>
          <w:p w14:paraId="16E6D2E8" w14:textId="77777777" w:rsidR="0065555D" w:rsidRPr="00E55519" w:rsidRDefault="0065555D" w:rsidP="007049D5">
            <w:pPr>
              <w:spacing w:line="240" w:lineRule="auto"/>
              <w:jc w:val="center"/>
              <w:rPr>
                <w:sz w:val="20"/>
                <w:szCs w:val="20"/>
              </w:rPr>
            </w:pPr>
            <w:r w:rsidRPr="00E55519">
              <w:rPr>
                <w:sz w:val="20"/>
                <w:szCs w:val="20"/>
              </w:rPr>
              <w:t>(4.1628)</w:t>
            </w:r>
          </w:p>
        </w:tc>
      </w:tr>
      <w:tr w:rsidR="0065555D" w:rsidRPr="00E55519" w14:paraId="608D8BF3"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1D64B277" w14:textId="77777777" w:rsidR="0065555D" w:rsidRPr="00E55519" w:rsidRDefault="0065555D" w:rsidP="007049D5">
            <w:pPr>
              <w:spacing w:after="0" w:line="240" w:lineRule="auto"/>
              <w:jc w:val="left"/>
              <w:rPr>
                <w:rFonts w:eastAsia="Times New Roman" w:cs="Times New Roman"/>
                <w:color w:val="000000"/>
                <w:sz w:val="20"/>
                <w:szCs w:val="20"/>
              </w:rPr>
            </w:pPr>
            <w:r w:rsidRPr="00E55519">
              <w:rPr>
                <w:rFonts w:eastAsia="Times New Roman" w:cs="Times New Roman"/>
                <w:color w:val="000000"/>
                <w:sz w:val="20"/>
                <w:szCs w:val="20"/>
              </w:rPr>
              <w:t>D(L1 Category 4)</w:t>
            </w:r>
          </w:p>
        </w:tc>
        <w:tc>
          <w:tcPr>
            <w:tcW w:w="0" w:type="auto"/>
            <w:tcBorders>
              <w:top w:val="nil"/>
              <w:left w:val="nil"/>
              <w:bottom w:val="nil"/>
              <w:right w:val="nil"/>
            </w:tcBorders>
            <w:shd w:val="clear" w:color="auto" w:fill="auto"/>
            <w:noWrap/>
            <w:vAlign w:val="center"/>
            <w:hideMark/>
          </w:tcPr>
          <w:p w14:paraId="3B1F3AB9" w14:textId="77777777" w:rsidR="0065555D" w:rsidRPr="00E55519" w:rsidRDefault="0065555D" w:rsidP="007049D5">
            <w:pPr>
              <w:spacing w:line="240" w:lineRule="auto"/>
              <w:jc w:val="center"/>
              <w:rPr>
                <w:sz w:val="20"/>
                <w:szCs w:val="20"/>
              </w:rPr>
            </w:pPr>
            <w:r w:rsidRPr="00E55519">
              <w:rPr>
                <w:sz w:val="20"/>
                <w:szCs w:val="20"/>
              </w:rPr>
              <w:t>-0.0348</w:t>
            </w:r>
          </w:p>
        </w:tc>
        <w:tc>
          <w:tcPr>
            <w:tcW w:w="0" w:type="auto"/>
            <w:tcBorders>
              <w:top w:val="nil"/>
              <w:left w:val="nil"/>
              <w:bottom w:val="nil"/>
              <w:right w:val="nil"/>
            </w:tcBorders>
            <w:shd w:val="clear" w:color="auto" w:fill="auto"/>
            <w:noWrap/>
            <w:vAlign w:val="center"/>
            <w:hideMark/>
          </w:tcPr>
          <w:p w14:paraId="381CAD97" w14:textId="77777777" w:rsidR="0065555D" w:rsidRPr="00E55519" w:rsidRDefault="0065555D" w:rsidP="007049D5">
            <w:pPr>
              <w:spacing w:line="240" w:lineRule="auto"/>
              <w:jc w:val="center"/>
              <w:rPr>
                <w:sz w:val="20"/>
                <w:szCs w:val="20"/>
              </w:rPr>
            </w:pPr>
            <w:r w:rsidRPr="00E55519">
              <w:rPr>
                <w:sz w:val="20"/>
                <w:szCs w:val="20"/>
              </w:rPr>
              <w:t>(-2.5224)</w:t>
            </w:r>
          </w:p>
        </w:tc>
        <w:tc>
          <w:tcPr>
            <w:tcW w:w="0" w:type="auto"/>
            <w:tcBorders>
              <w:top w:val="nil"/>
              <w:left w:val="nil"/>
              <w:bottom w:val="nil"/>
              <w:right w:val="nil"/>
            </w:tcBorders>
            <w:shd w:val="clear" w:color="auto" w:fill="auto"/>
            <w:noWrap/>
            <w:vAlign w:val="center"/>
            <w:hideMark/>
          </w:tcPr>
          <w:p w14:paraId="3F3C404A" w14:textId="77777777" w:rsidR="0065555D" w:rsidRPr="00E55519" w:rsidRDefault="0065555D" w:rsidP="007049D5">
            <w:pPr>
              <w:spacing w:line="240" w:lineRule="auto"/>
              <w:jc w:val="center"/>
              <w:rPr>
                <w:sz w:val="20"/>
                <w:szCs w:val="20"/>
              </w:rPr>
            </w:pPr>
            <w:r w:rsidRPr="00E55519">
              <w:rPr>
                <w:sz w:val="20"/>
                <w:szCs w:val="20"/>
              </w:rPr>
              <w:t>-0.0488</w:t>
            </w:r>
          </w:p>
        </w:tc>
        <w:tc>
          <w:tcPr>
            <w:tcW w:w="0" w:type="auto"/>
            <w:tcBorders>
              <w:top w:val="nil"/>
              <w:left w:val="nil"/>
              <w:bottom w:val="nil"/>
              <w:right w:val="nil"/>
            </w:tcBorders>
            <w:shd w:val="clear" w:color="auto" w:fill="auto"/>
            <w:noWrap/>
            <w:vAlign w:val="center"/>
            <w:hideMark/>
          </w:tcPr>
          <w:p w14:paraId="057B26D6" w14:textId="77777777" w:rsidR="0065555D" w:rsidRPr="00E55519" w:rsidRDefault="0065555D" w:rsidP="007049D5">
            <w:pPr>
              <w:spacing w:line="240" w:lineRule="auto"/>
              <w:jc w:val="center"/>
              <w:rPr>
                <w:sz w:val="20"/>
                <w:szCs w:val="20"/>
              </w:rPr>
            </w:pPr>
            <w:r w:rsidRPr="00E55519">
              <w:rPr>
                <w:sz w:val="20"/>
                <w:szCs w:val="20"/>
              </w:rPr>
              <w:t>(-3.0364)</w:t>
            </w:r>
          </w:p>
        </w:tc>
      </w:tr>
      <w:tr w:rsidR="0065555D" w:rsidRPr="00E55519" w14:paraId="1A7F19BC"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313EC990" w14:textId="77777777" w:rsidR="0065555D" w:rsidRPr="00E55519" w:rsidRDefault="0065555D" w:rsidP="007049D5">
            <w:pPr>
              <w:spacing w:after="0" w:line="240" w:lineRule="auto"/>
              <w:jc w:val="left"/>
              <w:rPr>
                <w:rFonts w:eastAsia="Times New Roman" w:cs="Times New Roman"/>
                <w:color w:val="000000"/>
                <w:sz w:val="20"/>
                <w:szCs w:val="20"/>
              </w:rPr>
            </w:pPr>
            <w:r w:rsidRPr="00E55519">
              <w:rPr>
                <w:rFonts w:eastAsia="Times New Roman" w:cs="Times New Roman"/>
                <w:color w:val="000000"/>
                <w:sz w:val="20"/>
                <w:szCs w:val="20"/>
              </w:rPr>
              <w:t>D(L1 Category 4) × D(L1 Rollover)</w:t>
            </w:r>
          </w:p>
        </w:tc>
        <w:tc>
          <w:tcPr>
            <w:tcW w:w="0" w:type="auto"/>
            <w:tcBorders>
              <w:top w:val="nil"/>
              <w:left w:val="nil"/>
              <w:bottom w:val="nil"/>
              <w:right w:val="nil"/>
            </w:tcBorders>
            <w:shd w:val="clear" w:color="auto" w:fill="auto"/>
            <w:noWrap/>
            <w:vAlign w:val="center"/>
            <w:hideMark/>
          </w:tcPr>
          <w:p w14:paraId="50C75C73" w14:textId="77777777" w:rsidR="0065555D" w:rsidRPr="00E55519" w:rsidRDefault="0065555D" w:rsidP="007049D5">
            <w:pPr>
              <w:spacing w:line="240" w:lineRule="auto"/>
              <w:jc w:val="center"/>
              <w:rPr>
                <w:sz w:val="20"/>
                <w:szCs w:val="20"/>
              </w:rPr>
            </w:pPr>
          </w:p>
        </w:tc>
        <w:tc>
          <w:tcPr>
            <w:tcW w:w="0" w:type="auto"/>
            <w:tcBorders>
              <w:top w:val="nil"/>
              <w:left w:val="nil"/>
              <w:bottom w:val="nil"/>
              <w:right w:val="nil"/>
            </w:tcBorders>
            <w:shd w:val="clear" w:color="auto" w:fill="auto"/>
            <w:noWrap/>
            <w:vAlign w:val="center"/>
            <w:hideMark/>
          </w:tcPr>
          <w:p w14:paraId="0B327807" w14:textId="77777777" w:rsidR="0065555D" w:rsidRPr="00E55519" w:rsidRDefault="0065555D" w:rsidP="007049D5">
            <w:pPr>
              <w:spacing w:line="240" w:lineRule="auto"/>
              <w:jc w:val="center"/>
              <w:rPr>
                <w:sz w:val="20"/>
                <w:szCs w:val="20"/>
              </w:rPr>
            </w:pPr>
          </w:p>
        </w:tc>
        <w:tc>
          <w:tcPr>
            <w:tcW w:w="0" w:type="auto"/>
            <w:tcBorders>
              <w:top w:val="nil"/>
              <w:left w:val="nil"/>
              <w:bottom w:val="nil"/>
              <w:right w:val="nil"/>
            </w:tcBorders>
            <w:shd w:val="clear" w:color="auto" w:fill="auto"/>
            <w:noWrap/>
            <w:vAlign w:val="center"/>
            <w:hideMark/>
          </w:tcPr>
          <w:p w14:paraId="2A336CA0" w14:textId="77777777" w:rsidR="0065555D" w:rsidRPr="00E55519" w:rsidRDefault="0065555D" w:rsidP="007049D5">
            <w:pPr>
              <w:spacing w:line="240" w:lineRule="auto"/>
              <w:jc w:val="center"/>
              <w:rPr>
                <w:sz w:val="20"/>
                <w:szCs w:val="20"/>
              </w:rPr>
            </w:pPr>
            <w:r w:rsidRPr="00E55519">
              <w:rPr>
                <w:sz w:val="20"/>
                <w:szCs w:val="20"/>
              </w:rPr>
              <w:t>0.0362</w:t>
            </w:r>
          </w:p>
        </w:tc>
        <w:tc>
          <w:tcPr>
            <w:tcW w:w="0" w:type="auto"/>
            <w:tcBorders>
              <w:top w:val="nil"/>
              <w:left w:val="nil"/>
              <w:bottom w:val="nil"/>
              <w:right w:val="nil"/>
            </w:tcBorders>
            <w:shd w:val="clear" w:color="auto" w:fill="auto"/>
            <w:noWrap/>
            <w:vAlign w:val="center"/>
            <w:hideMark/>
          </w:tcPr>
          <w:p w14:paraId="11DB05ED" w14:textId="77777777" w:rsidR="0065555D" w:rsidRPr="00E55519" w:rsidRDefault="0065555D" w:rsidP="007049D5">
            <w:pPr>
              <w:spacing w:line="240" w:lineRule="auto"/>
              <w:jc w:val="center"/>
              <w:rPr>
                <w:sz w:val="20"/>
                <w:szCs w:val="20"/>
              </w:rPr>
            </w:pPr>
            <w:r w:rsidRPr="00E55519">
              <w:rPr>
                <w:sz w:val="20"/>
                <w:szCs w:val="20"/>
              </w:rPr>
              <w:t>(2.0843)</w:t>
            </w:r>
          </w:p>
        </w:tc>
      </w:tr>
      <w:tr w:rsidR="0065555D" w:rsidRPr="00E55519" w14:paraId="2B2148FA"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190B0376" w14:textId="77777777" w:rsidR="0065555D" w:rsidRPr="00E55519" w:rsidRDefault="0065555D" w:rsidP="007049D5">
            <w:pPr>
              <w:spacing w:after="0" w:line="240" w:lineRule="auto"/>
              <w:jc w:val="left"/>
              <w:rPr>
                <w:rFonts w:eastAsia="Times New Roman" w:cs="Times New Roman"/>
                <w:color w:val="000000"/>
                <w:sz w:val="20"/>
                <w:szCs w:val="20"/>
              </w:rPr>
            </w:pPr>
            <w:r w:rsidRPr="00E55519">
              <w:rPr>
                <w:rFonts w:eastAsia="Times New Roman" w:cs="Times New Roman"/>
                <w:color w:val="000000"/>
                <w:sz w:val="20"/>
                <w:szCs w:val="20"/>
              </w:rPr>
              <w:t>D(L1 Category 5)</w:t>
            </w:r>
          </w:p>
        </w:tc>
        <w:tc>
          <w:tcPr>
            <w:tcW w:w="0" w:type="auto"/>
            <w:tcBorders>
              <w:top w:val="nil"/>
              <w:left w:val="nil"/>
              <w:bottom w:val="nil"/>
              <w:right w:val="nil"/>
            </w:tcBorders>
            <w:shd w:val="clear" w:color="auto" w:fill="auto"/>
            <w:noWrap/>
            <w:vAlign w:val="center"/>
            <w:hideMark/>
          </w:tcPr>
          <w:p w14:paraId="56908841" w14:textId="77777777" w:rsidR="0065555D" w:rsidRPr="00E55519" w:rsidRDefault="0065555D" w:rsidP="007049D5">
            <w:pPr>
              <w:spacing w:line="240" w:lineRule="auto"/>
              <w:jc w:val="center"/>
              <w:rPr>
                <w:sz w:val="20"/>
                <w:szCs w:val="20"/>
              </w:rPr>
            </w:pPr>
            <w:r w:rsidRPr="00E55519">
              <w:rPr>
                <w:sz w:val="20"/>
                <w:szCs w:val="20"/>
              </w:rPr>
              <w:t>-0.0245</w:t>
            </w:r>
          </w:p>
        </w:tc>
        <w:tc>
          <w:tcPr>
            <w:tcW w:w="0" w:type="auto"/>
            <w:tcBorders>
              <w:top w:val="nil"/>
              <w:left w:val="nil"/>
              <w:bottom w:val="nil"/>
              <w:right w:val="nil"/>
            </w:tcBorders>
            <w:shd w:val="clear" w:color="auto" w:fill="auto"/>
            <w:noWrap/>
            <w:vAlign w:val="center"/>
            <w:hideMark/>
          </w:tcPr>
          <w:p w14:paraId="01C7FCE9" w14:textId="77777777" w:rsidR="0065555D" w:rsidRPr="00E55519" w:rsidRDefault="0065555D" w:rsidP="007049D5">
            <w:pPr>
              <w:spacing w:line="240" w:lineRule="auto"/>
              <w:jc w:val="center"/>
              <w:rPr>
                <w:sz w:val="20"/>
                <w:szCs w:val="20"/>
              </w:rPr>
            </w:pPr>
            <w:r w:rsidRPr="00E55519">
              <w:rPr>
                <w:sz w:val="20"/>
                <w:szCs w:val="20"/>
              </w:rPr>
              <w:t>(-1.2155)</w:t>
            </w:r>
          </w:p>
        </w:tc>
        <w:tc>
          <w:tcPr>
            <w:tcW w:w="0" w:type="auto"/>
            <w:tcBorders>
              <w:top w:val="nil"/>
              <w:left w:val="nil"/>
              <w:bottom w:val="nil"/>
              <w:right w:val="nil"/>
            </w:tcBorders>
            <w:shd w:val="clear" w:color="auto" w:fill="auto"/>
            <w:noWrap/>
            <w:vAlign w:val="center"/>
            <w:hideMark/>
          </w:tcPr>
          <w:p w14:paraId="703E1B35" w14:textId="77777777" w:rsidR="0065555D" w:rsidRPr="00E55519" w:rsidRDefault="0065555D" w:rsidP="007049D5">
            <w:pPr>
              <w:spacing w:line="240" w:lineRule="auto"/>
              <w:jc w:val="center"/>
              <w:rPr>
                <w:sz w:val="20"/>
                <w:szCs w:val="20"/>
              </w:rPr>
            </w:pPr>
            <w:r w:rsidRPr="00E55519">
              <w:rPr>
                <w:sz w:val="20"/>
                <w:szCs w:val="20"/>
              </w:rPr>
              <w:t>-0.0388</w:t>
            </w:r>
          </w:p>
        </w:tc>
        <w:tc>
          <w:tcPr>
            <w:tcW w:w="0" w:type="auto"/>
            <w:tcBorders>
              <w:top w:val="nil"/>
              <w:left w:val="nil"/>
              <w:bottom w:val="nil"/>
              <w:right w:val="nil"/>
            </w:tcBorders>
            <w:shd w:val="clear" w:color="auto" w:fill="auto"/>
            <w:noWrap/>
            <w:vAlign w:val="center"/>
            <w:hideMark/>
          </w:tcPr>
          <w:p w14:paraId="19A6B2AD" w14:textId="77777777" w:rsidR="0065555D" w:rsidRPr="00E55519" w:rsidRDefault="0065555D" w:rsidP="007049D5">
            <w:pPr>
              <w:spacing w:line="240" w:lineRule="auto"/>
              <w:jc w:val="center"/>
              <w:rPr>
                <w:sz w:val="20"/>
                <w:szCs w:val="20"/>
              </w:rPr>
            </w:pPr>
            <w:r w:rsidRPr="00E55519">
              <w:rPr>
                <w:sz w:val="20"/>
                <w:szCs w:val="20"/>
              </w:rPr>
              <w:t>(-1.6772)</w:t>
            </w:r>
          </w:p>
        </w:tc>
      </w:tr>
      <w:tr w:rsidR="0065555D" w:rsidRPr="00E55519" w14:paraId="08203793"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36F96627" w14:textId="77777777" w:rsidR="0065555D" w:rsidRPr="00E55519" w:rsidRDefault="0065555D" w:rsidP="007049D5">
            <w:pPr>
              <w:spacing w:after="0" w:line="240" w:lineRule="auto"/>
              <w:jc w:val="left"/>
              <w:rPr>
                <w:rFonts w:eastAsia="Times New Roman" w:cs="Times New Roman"/>
                <w:color w:val="000000"/>
                <w:sz w:val="20"/>
                <w:szCs w:val="20"/>
              </w:rPr>
            </w:pPr>
            <w:r w:rsidRPr="00E55519">
              <w:rPr>
                <w:rFonts w:eastAsia="Times New Roman" w:cs="Times New Roman"/>
                <w:color w:val="000000"/>
                <w:sz w:val="20"/>
                <w:szCs w:val="20"/>
              </w:rPr>
              <w:t>D(L1 Category 5) × D(L1 Rollover)</w:t>
            </w:r>
          </w:p>
        </w:tc>
        <w:tc>
          <w:tcPr>
            <w:tcW w:w="0" w:type="auto"/>
            <w:tcBorders>
              <w:top w:val="nil"/>
              <w:left w:val="nil"/>
              <w:bottom w:val="nil"/>
              <w:right w:val="nil"/>
            </w:tcBorders>
            <w:shd w:val="clear" w:color="auto" w:fill="auto"/>
            <w:noWrap/>
            <w:vAlign w:val="center"/>
            <w:hideMark/>
          </w:tcPr>
          <w:p w14:paraId="18D0BD03" w14:textId="77777777" w:rsidR="0065555D" w:rsidRPr="00E55519" w:rsidRDefault="0065555D" w:rsidP="007049D5">
            <w:pPr>
              <w:spacing w:line="240" w:lineRule="auto"/>
              <w:jc w:val="center"/>
              <w:rPr>
                <w:sz w:val="20"/>
                <w:szCs w:val="20"/>
              </w:rPr>
            </w:pPr>
          </w:p>
        </w:tc>
        <w:tc>
          <w:tcPr>
            <w:tcW w:w="0" w:type="auto"/>
            <w:tcBorders>
              <w:top w:val="nil"/>
              <w:left w:val="nil"/>
              <w:bottom w:val="nil"/>
              <w:right w:val="nil"/>
            </w:tcBorders>
            <w:shd w:val="clear" w:color="auto" w:fill="auto"/>
            <w:noWrap/>
            <w:vAlign w:val="center"/>
            <w:hideMark/>
          </w:tcPr>
          <w:p w14:paraId="1AEFE393" w14:textId="77777777" w:rsidR="0065555D" w:rsidRPr="00E55519" w:rsidRDefault="0065555D" w:rsidP="007049D5">
            <w:pPr>
              <w:spacing w:line="240" w:lineRule="auto"/>
              <w:jc w:val="center"/>
              <w:rPr>
                <w:sz w:val="20"/>
                <w:szCs w:val="20"/>
              </w:rPr>
            </w:pPr>
          </w:p>
        </w:tc>
        <w:tc>
          <w:tcPr>
            <w:tcW w:w="0" w:type="auto"/>
            <w:tcBorders>
              <w:top w:val="nil"/>
              <w:left w:val="nil"/>
              <w:bottom w:val="nil"/>
              <w:right w:val="nil"/>
            </w:tcBorders>
            <w:shd w:val="clear" w:color="auto" w:fill="auto"/>
            <w:noWrap/>
            <w:vAlign w:val="center"/>
            <w:hideMark/>
          </w:tcPr>
          <w:p w14:paraId="7FFA3CD0" w14:textId="77777777" w:rsidR="0065555D" w:rsidRPr="00E55519" w:rsidRDefault="0065555D" w:rsidP="007049D5">
            <w:pPr>
              <w:spacing w:line="240" w:lineRule="auto"/>
              <w:jc w:val="center"/>
              <w:rPr>
                <w:sz w:val="20"/>
                <w:szCs w:val="20"/>
              </w:rPr>
            </w:pPr>
            <w:r w:rsidRPr="00E55519">
              <w:rPr>
                <w:sz w:val="20"/>
                <w:szCs w:val="20"/>
              </w:rPr>
              <w:t>0.0466</w:t>
            </w:r>
          </w:p>
        </w:tc>
        <w:tc>
          <w:tcPr>
            <w:tcW w:w="0" w:type="auto"/>
            <w:tcBorders>
              <w:top w:val="nil"/>
              <w:left w:val="nil"/>
              <w:bottom w:val="nil"/>
              <w:right w:val="nil"/>
            </w:tcBorders>
            <w:shd w:val="clear" w:color="auto" w:fill="auto"/>
            <w:noWrap/>
            <w:vAlign w:val="center"/>
            <w:hideMark/>
          </w:tcPr>
          <w:p w14:paraId="3DFC0387" w14:textId="77777777" w:rsidR="0065555D" w:rsidRPr="00E55519" w:rsidRDefault="0065555D" w:rsidP="007049D5">
            <w:pPr>
              <w:spacing w:line="240" w:lineRule="auto"/>
              <w:jc w:val="center"/>
              <w:rPr>
                <w:sz w:val="20"/>
                <w:szCs w:val="20"/>
              </w:rPr>
            </w:pPr>
            <w:r w:rsidRPr="00E55519">
              <w:rPr>
                <w:sz w:val="20"/>
                <w:szCs w:val="20"/>
              </w:rPr>
              <w:t>(1.2712)</w:t>
            </w:r>
          </w:p>
        </w:tc>
      </w:tr>
      <w:tr w:rsidR="0065555D" w:rsidRPr="00E55519" w14:paraId="7FAE0968"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5700BA99" w14:textId="77777777" w:rsidR="0065555D" w:rsidRPr="00E55519" w:rsidRDefault="0065555D" w:rsidP="007049D5">
            <w:pPr>
              <w:spacing w:after="0" w:line="240" w:lineRule="auto"/>
              <w:jc w:val="left"/>
              <w:rPr>
                <w:rFonts w:eastAsia="Times New Roman" w:cs="Times New Roman"/>
                <w:color w:val="000000"/>
                <w:sz w:val="20"/>
                <w:szCs w:val="20"/>
              </w:rPr>
            </w:pPr>
            <w:r w:rsidRPr="00E55519">
              <w:rPr>
                <w:rFonts w:eastAsia="Times New Roman" w:cs="Times New Roman"/>
                <w:color w:val="000000"/>
                <w:sz w:val="20"/>
                <w:szCs w:val="20"/>
              </w:rPr>
              <w:t>D(L1 Category 6) × D(L1 Rollover)</w:t>
            </w:r>
          </w:p>
        </w:tc>
        <w:tc>
          <w:tcPr>
            <w:tcW w:w="0" w:type="auto"/>
            <w:tcBorders>
              <w:top w:val="nil"/>
              <w:left w:val="nil"/>
              <w:bottom w:val="nil"/>
              <w:right w:val="nil"/>
            </w:tcBorders>
            <w:shd w:val="clear" w:color="auto" w:fill="auto"/>
            <w:noWrap/>
            <w:vAlign w:val="center"/>
            <w:hideMark/>
          </w:tcPr>
          <w:p w14:paraId="52036243" w14:textId="77777777" w:rsidR="0065555D" w:rsidRPr="00E55519" w:rsidRDefault="0065555D" w:rsidP="007049D5">
            <w:pPr>
              <w:spacing w:line="240" w:lineRule="auto"/>
              <w:jc w:val="center"/>
              <w:rPr>
                <w:sz w:val="20"/>
                <w:szCs w:val="20"/>
              </w:rPr>
            </w:pPr>
          </w:p>
        </w:tc>
        <w:tc>
          <w:tcPr>
            <w:tcW w:w="0" w:type="auto"/>
            <w:tcBorders>
              <w:top w:val="nil"/>
              <w:left w:val="nil"/>
              <w:bottom w:val="nil"/>
              <w:right w:val="nil"/>
            </w:tcBorders>
            <w:shd w:val="clear" w:color="auto" w:fill="auto"/>
            <w:noWrap/>
            <w:vAlign w:val="center"/>
            <w:hideMark/>
          </w:tcPr>
          <w:p w14:paraId="66DD86A5" w14:textId="77777777" w:rsidR="0065555D" w:rsidRPr="00E55519" w:rsidRDefault="0065555D" w:rsidP="007049D5">
            <w:pPr>
              <w:spacing w:line="240" w:lineRule="auto"/>
              <w:jc w:val="center"/>
              <w:rPr>
                <w:sz w:val="20"/>
                <w:szCs w:val="20"/>
              </w:rPr>
            </w:pPr>
          </w:p>
        </w:tc>
        <w:tc>
          <w:tcPr>
            <w:tcW w:w="0" w:type="auto"/>
            <w:tcBorders>
              <w:top w:val="nil"/>
              <w:left w:val="nil"/>
              <w:bottom w:val="nil"/>
              <w:right w:val="nil"/>
            </w:tcBorders>
            <w:shd w:val="clear" w:color="auto" w:fill="auto"/>
            <w:noWrap/>
            <w:vAlign w:val="center"/>
            <w:hideMark/>
          </w:tcPr>
          <w:p w14:paraId="5B834DC5" w14:textId="77777777" w:rsidR="0065555D" w:rsidRPr="00E55519" w:rsidRDefault="0065555D" w:rsidP="007049D5">
            <w:pPr>
              <w:spacing w:line="240" w:lineRule="auto"/>
              <w:jc w:val="center"/>
              <w:rPr>
                <w:sz w:val="20"/>
                <w:szCs w:val="20"/>
              </w:rPr>
            </w:pPr>
            <w:r w:rsidRPr="00E55519">
              <w:rPr>
                <w:sz w:val="20"/>
                <w:szCs w:val="20"/>
              </w:rPr>
              <w:t>0.0095</w:t>
            </w:r>
          </w:p>
        </w:tc>
        <w:tc>
          <w:tcPr>
            <w:tcW w:w="0" w:type="auto"/>
            <w:tcBorders>
              <w:top w:val="nil"/>
              <w:left w:val="nil"/>
              <w:bottom w:val="nil"/>
              <w:right w:val="nil"/>
            </w:tcBorders>
            <w:shd w:val="clear" w:color="auto" w:fill="auto"/>
            <w:noWrap/>
            <w:vAlign w:val="center"/>
            <w:hideMark/>
          </w:tcPr>
          <w:p w14:paraId="574B52A3" w14:textId="77777777" w:rsidR="0065555D" w:rsidRPr="00E55519" w:rsidRDefault="0065555D" w:rsidP="007049D5">
            <w:pPr>
              <w:spacing w:line="240" w:lineRule="auto"/>
              <w:jc w:val="center"/>
              <w:rPr>
                <w:sz w:val="20"/>
                <w:szCs w:val="20"/>
              </w:rPr>
            </w:pPr>
            <w:r w:rsidRPr="00E55519">
              <w:rPr>
                <w:sz w:val="20"/>
                <w:szCs w:val="20"/>
              </w:rPr>
              <w:t>(0.4359)</w:t>
            </w:r>
          </w:p>
        </w:tc>
      </w:tr>
      <w:tr w:rsidR="0065555D" w:rsidRPr="00E55519" w14:paraId="0BAF82DD"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52ABE4F3" w14:textId="77777777" w:rsidR="0065555D" w:rsidRPr="00E55519" w:rsidRDefault="0065555D" w:rsidP="007049D5">
            <w:pPr>
              <w:spacing w:after="0" w:line="240" w:lineRule="auto"/>
              <w:jc w:val="left"/>
              <w:rPr>
                <w:rFonts w:eastAsia="Times New Roman" w:cs="Times New Roman"/>
                <w:sz w:val="20"/>
                <w:szCs w:val="20"/>
              </w:rPr>
            </w:pPr>
            <w:r w:rsidRPr="00E55519">
              <w:rPr>
                <w:rFonts w:eastAsia="Times New Roman" w:cs="Times New Roman"/>
                <w:color w:val="000000"/>
                <w:sz w:val="20"/>
                <w:szCs w:val="20"/>
              </w:rPr>
              <w:t>Log(</w:t>
            </w:r>
            <w:r>
              <w:rPr>
                <w:rFonts w:eastAsia="Times New Roman" w:cs="Times New Roman"/>
                <w:color w:val="000000"/>
                <w:sz w:val="20"/>
                <w:szCs w:val="20"/>
              </w:rPr>
              <w:t xml:space="preserve">Real </w:t>
            </w:r>
            <w:r w:rsidRPr="00E55519">
              <w:rPr>
                <w:rFonts w:eastAsia="Times New Roman" w:cs="Times New Roman"/>
                <w:color w:val="000000"/>
                <w:sz w:val="20"/>
                <w:szCs w:val="20"/>
              </w:rPr>
              <w:t>Property Value)</w:t>
            </w:r>
          </w:p>
        </w:tc>
        <w:tc>
          <w:tcPr>
            <w:tcW w:w="0" w:type="auto"/>
            <w:tcBorders>
              <w:top w:val="nil"/>
              <w:left w:val="nil"/>
              <w:bottom w:val="nil"/>
              <w:right w:val="nil"/>
            </w:tcBorders>
            <w:shd w:val="clear" w:color="auto" w:fill="auto"/>
            <w:noWrap/>
            <w:vAlign w:val="center"/>
            <w:hideMark/>
          </w:tcPr>
          <w:p w14:paraId="277B1605" w14:textId="77777777" w:rsidR="0065555D" w:rsidRPr="00E55519" w:rsidRDefault="0065555D" w:rsidP="007049D5">
            <w:pPr>
              <w:spacing w:line="240" w:lineRule="auto"/>
              <w:jc w:val="center"/>
              <w:rPr>
                <w:sz w:val="20"/>
                <w:szCs w:val="20"/>
              </w:rPr>
            </w:pPr>
            <w:r w:rsidRPr="00E55519">
              <w:rPr>
                <w:sz w:val="20"/>
                <w:szCs w:val="20"/>
              </w:rPr>
              <w:t>-0.1261</w:t>
            </w:r>
          </w:p>
        </w:tc>
        <w:tc>
          <w:tcPr>
            <w:tcW w:w="0" w:type="auto"/>
            <w:tcBorders>
              <w:top w:val="nil"/>
              <w:left w:val="nil"/>
              <w:bottom w:val="nil"/>
              <w:right w:val="nil"/>
            </w:tcBorders>
            <w:shd w:val="clear" w:color="auto" w:fill="auto"/>
            <w:noWrap/>
            <w:vAlign w:val="center"/>
            <w:hideMark/>
          </w:tcPr>
          <w:p w14:paraId="38088C31" w14:textId="77777777" w:rsidR="0065555D" w:rsidRPr="00E55519" w:rsidRDefault="0065555D" w:rsidP="007049D5">
            <w:pPr>
              <w:spacing w:line="240" w:lineRule="auto"/>
              <w:jc w:val="center"/>
              <w:rPr>
                <w:sz w:val="20"/>
                <w:szCs w:val="20"/>
              </w:rPr>
            </w:pPr>
            <w:r w:rsidRPr="00E55519">
              <w:rPr>
                <w:sz w:val="20"/>
                <w:szCs w:val="20"/>
              </w:rPr>
              <w:t>(-23.2610)</w:t>
            </w:r>
          </w:p>
        </w:tc>
        <w:tc>
          <w:tcPr>
            <w:tcW w:w="0" w:type="auto"/>
            <w:tcBorders>
              <w:top w:val="nil"/>
              <w:left w:val="nil"/>
              <w:bottom w:val="nil"/>
              <w:right w:val="nil"/>
            </w:tcBorders>
            <w:shd w:val="clear" w:color="auto" w:fill="auto"/>
            <w:noWrap/>
            <w:vAlign w:val="center"/>
            <w:hideMark/>
          </w:tcPr>
          <w:p w14:paraId="3AF70D7E" w14:textId="77777777" w:rsidR="0065555D" w:rsidRPr="00E55519" w:rsidRDefault="0065555D" w:rsidP="007049D5">
            <w:pPr>
              <w:spacing w:line="240" w:lineRule="auto"/>
              <w:jc w:val="center"/>
              <w:rPr>
                <w:sz w:val="20"/>
                <w:szCs w:val="20"/>
              </w:rPr>
            </w:pPr>
            <w:r w:rsidRPr="00E55519">
              <w:rPr>
                <w:sz w:val="20"/>
                <w:szCs w:val="20"/>
              </w:rPr>
              <w:t>-0.1235</w:t>
            </w:r>
          </w:p>
        </w:tc>
        <w:tc>
          <w:tcPr>
            <w:tcW w:w="0" w:type="auto"/>
            <w:tcBorders>
              <w:top w:val="nil"/>
              <w:left w:val="nil"/>
              <w:bottom w:val="nil"/>
              <w:right w:val="nil"/>
            </w:tcBorders>
            <w:shd w:val="clear" w:color="auto" w:fill="auto"/>
            <w:noWrap/>
            <w:vAlign w:val="center"/>
            <w:hideMark/>
          </w:tcPr>
          <w:p w14:paraId="32CD5E82" w14:textId="77777777" w:rsidR="0065555D" w:rsidRPr="00E55519" w:rsidRDefault="0065555D" w:rsidP="007049D5">
            <w:pPr>
              <w:spacing w:line="240" w:lineRule="auto"/>
              <w:jc w:val="center"/>
              <w:rPr>
                <w:sz w:val="20"/>
                <w:szCs w:val="20"/>
              </w:rPr>
            </w:pPr>
            <w:r w:rsidRPr="00E55519">
              <w:rPr>
                <w:sz w:val="20"/>
                <w:szCs w:val="20"/>
              </w:rPr>
              <w:t>(-22.2396)</w:t>
            </w:r>
          </w:p>
        </w:tc>
      </w:tr>
      <w:tr w:rsidR="0065555D" w:rsidRPr="00E55519" w14:paraId="6036ED1E"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673BFF65" w14:textId="77777777" w:rsidR="0065555D" w:rsidRPr="00E55519" w:rsidRDefault="0065555D" w:rsidP="007049D5">
            <w:pPr>
              <w:spacing w:after="0" w:line="240" w:lineRule="auto"/>
              <w:jc w:val="left"/>
              <w:rPr>
                <w:rFonts w:eastAsia="Times New Roman" w:cs="Times New Roman"/>
                <w:sz w:val="20"/>
                <w:szCs w:val="20"/>
              </w:rPr>
            </w:pPr>
            <w:r w:rsidRPr="00E55519">
              <w:rPr>
                <w:rFonts w:eastAsia="Times New Roman" w:cs="Times New Roman"/>
                <w:sz w:val="20"/>
                <w:szCs w:val="20"/>
              </w:rPr>
              <w:t>LTV</w:t>
            </w:r>
          </w:p>
        </w:tc>
        <w:tc>
          <w:tcPr>
            <w:tcW w:w="0" w:type="auto"/>
            <w:tcBorders>
              <w:top w:val="nil"/>
              <w:left w:val="nil"/>
              <w:bottom w:val="nil"/>
              <w:right w:val="nil"/>
            </w:tcBorders>
            <w:shd w:val="clear" w:color="auto" w:fill="auto"/>
            <w:noWrap/>
            <w:vAlign w:val="center"/>
            <w:hideMark/>
          </w:tcPr>
          <w:p w14:paraId="03C1BEDB" w14:textId="77777777" w:rsidR="0065555D" w:rsidRPr="00E55519" w:rsidRDefault="0065555D" w:rsidP="007049D5">
            <w:pPr>
              <w:spacing w:line="240" w:lineRule="auto"/>
              <w:jc w:val="center"/>
              <w:rPr>
                <w:sz w:val="20"/>
                <w:szCs w:val="20"/>
              </w:rPr>
            </w:pPr>
            <w:r w:rsidRPr="00E55519">
              <w:rPr>
                <w:sz w:val="20"/>
                <w:szCs w:val="20"/>
              </w:rPr>
              <w:t>0.3152</w:t>
            </w:r>
          </w:p>
        </w:tc>
        <w:tc>
          <w:tcPr>
            <w:tcW w:w="0" w:type="auto"/>
            <w:tcBorders>
              <w:top w:val="nil"/>
              <w:left w:val="nil"/>
              <w:bottom w:val="nil"/>
              <w:right w:val="nil"/>
            </w:tcBorders>
            <w:shd w:val="clear" w:color="auto" w:fill="auto"/>
            <w:noWrap/>
            <w:vAlign w:val="center"/>
            <w:hideMark/>
          </w:tcPr>
          <w:p w14:paraId="3AC38005" w14:textId="77777777" w:rsidR="0065555D" w:rsidRPr="00E55519" w:rsidRDefault="0065555D" w:rsidP="007049D5">
            <w:pPr>
              <w:spacing w:line="240" w:lineRule="auto"/>
              <w:jc w:val="center"/>
              <w:rPr>
                <w:sz w:val="20"/>
                <w:szCs w:val="20"/>
              </w:rPr>
            </w:pPr>
            <w:r w:rsidRPr="00E55519">
              <w:rPr>
                <w:sz w:val="20"/>
                <w:szCs w:val="20"/>
              </w:rPr>
              <w:t>(4.0252)</w:t>
            </w:r>
          </w:p>
        </w:tc>
        <w:tc>
          <w:tcPr>
            <w:tcW w:w="0" w:type="auto"/>
            <w:tcBorders>
              <w:top w:val="nil"/>
              <w:left w:val="nil"/>
              <w:bottom w:val="nil"/>
              <w:right w:val="nil"/>
            </w:tcBorders>
            <w:shd w:val="clear" w:color="auto" w:fill="auto"/>
            <w:noWrap/>
            <w:vAlign w:val="center"/>
            <w:hideMark/>
          </w:tcPr>
          <w:p w14:paraId="79131CF3" w14:textId="77777777" w:rsidR="0065555D" w:rsidRPr="00E55519" w:rsidRDefault="0065555D" w:rsidP="007049D5">
            <w:pPr>
              <w:spacing w:line="240" w:lineRule="auto"/>
              <w:jc w:val="center"/>
              <w:rPr>
                <w:sz w:val="20"/>
                <w:szCs w:val="20"/>
              </w:rPr>
            </w:pPr>
            <w:r w:rsidRPr="00E55519">
              <w:rPr>
                <w:sz w:val="20"/>
                <w:szCs w:val="20"/>
              </w:rPr>
              <w:t>0.3221</w:t>
            </w:r>
          </w:p>
        </w:tc>
        <w:tc>
          <w:tcPr>
            <w:tcW w:w="0" w:type="auto"/>
            <w:tcBorders>
              <w:top w:val="nil"/>
              <w:left w:val="nil"/>
              <w:bottom w:val="nil"/>
              <w:right w:val="nil"/>
            </w:tcBorders>
            <w:shd w:val="clear" w:color="auto" w:fill="auto"/>
            <w:noWrap/>
            <w:vAlign w:val="center"/>
            <w:hideMark/>
          </w:tcPr>
          <w:p w14:paraId="6D4A8E03" w14:textId="77777777" w:rsidR="0065555D" w:rsidRPr="00E55519" w:rsidRDefault="0065555D" w:rsidP="007049D5">
            <w:pPr>
              <w:spacing w:line="240" w:lineRule="auto"/>
              <w:jc w:val="center"/>
              <w:rPr>
                <w:sz w:val="20"/>
                <w:szCs w:val="20"/>
              </w:rPr>
            </w:pPr>
            <w:r w:rsidRPr="00E55519">
              <w:rPr>
                <w:sz w:val="20"/>
                <w:szCs w:val="20"/>
              </w:rPr>
              <w:t>(4.0685)</w:t>
            </w:r>
          </w:p>
        </w:tc>
      </w:tr>
      <w:tr w:rsidR="0065555D" w:rsidRPr="00E55519" w14:paraId="50EC333C"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3633849F" w14:textId="77777777" w:rsidR="0065555D" w:rsidRPr="00E55519" w:rsidRDefault="0065555D" w:rsidP="007049D5">
            <w:pPr>
              <w:spacing w:after="0" w:line="240" w:lineRule="auto"/>
              <w:jc w:val="left"/>
              <w:rPr>
                <w:rFonts w:eastAsia="Times New Roman" w:cs="Times New Roman"/>
                <w:sz w:val="20"/>
                <w:szCs w:val="20"/>
              </w:rPr>
            </w:pPr>
            <w:r w:rsidRPr="00E55519">
              <w:rPr>
                <w:rFonts w:eastAsia="Times New Roman" w:cs="Times New Roman"/>
                <w:sz w:val="20"/>
                <w:szCs w:val="20"/>
              </w:rPr>
              <w:t>D(LTV ≥ 0.70)</w:t>
            </w:r>
          </w:p>
        </w:tc>
        <w:tc>
          <w:tcPr>
            <w:tcW w:w="0" w:type="auto"/>
            <w:tcBorders>
              <w:top w:val="nil"/>
              <w:left w:val="nil"/>
              <w:bottom w:val="nil"/>
              <w:right w:val="nil"/>
            </w:tcBorders>
            <w:shd w:val="clear" w:color="auto" w:fill="auto"/>
            <w:noWrap/>
            <w:vAlign w:val="center"/>
            <w:hideMark/>
          </w:tcPr>
          <w:p w14:paraId="717390BD" w14:textId="77777777" w:rsidR="0065555D" w:rsidRPr="00E55519" w:rsidRDefault="0065555D" w:rsidP="007049D5">
            <w:pPr>
              <w:spacing w:line="240" w:lineRule="auto"/>
              <w:jc w:val="center"/>
              <w:rPr>
                <w:sz w:val="20"/>
                <w:szCs w:val="20"/>
              </w:rPr>
            </w:pPr>
            <w:r w:rsidRPr="00E55519">
              <w:rPr>
                <w:sz w:val="20"/>
                <w:szCs w:val="20"/>
              </w:rPr>
              <w:t>-0.0055</w:t>
            </w:r>
          </w:p>
        </w:tc>
        <w:tc>
          <w:tcPr>
            <w:tcW w:w="0" w:type="auto"/>
            <w:tcBorders>
              <w:top w:val="nil"/>
              <w:left w:val="nil"/>
              <w:bottom w:val="nil"/>
              <w:right w:val="nil"/>
            </w:tcBorders>
            <w:shd w:val="clear" w:color="auto" w:fill="auto"/>
            <w:noWrap/>
            <w:vAlign w:val="center"/>
            <w:hideMark/>
          </w:tcPr>
          <w:p w14:paraId="79849FB6" w14:textId="77777777" w:rsidR="0065555D" w:rsidRPr="00E55519" w:rsidRDefault="0065555D" w:rsidP="007049D5">
            <w:pPr>
              <w:spacing w:line="240" w:lineRule="auto"/>
              <w:jc w:val="center"/>
              <w:rPr>
                <w:sz w:val="20"/>
                <w:szCs w:val="20"/>
              </w:rPr>
            </w:pPr>
            <w:r w:rsidRPr="00E55519">
              <w:rPr>
                <w:sz w:val="20"/>
                <w:szCs w:val="20"/>
              </w:rPr>
              <w:t>(-0.4902)</w:t>
            </w:r>
          </w:p>
        </w:tc>
        <w:tc>
          <w:tcPr>
            <w:tcW w:w="0" w:type="auto"/>
            <w:tcBorders>
              <w:top w:val="nil"/>
              <w:left w:val="nil"/>
              <w:bottom w:val="nil"/>
              <w:right w:val="nil"/>
            </w:tcBorders>
            <w:shd w:val="clear" w:color="auto" w:fill="auto"/>
            <w:noWrap/>
            <w:vAlign w:val="center"/>
            <w:hideMark/>
          </w:tcPr>
          <w:p w14:paraId="6FF00F76" w14:textId="77777777" w:rsidR="0065555D" w:rsidRPr="00E55519" w:rsidRDefault="0065555D" w:rsidP="007049D5">
            <w:pPr>
              <w:spacing w:line="240" w:lineRule="auto"/>
              <w:jc w:val="center"/>
              <w:rPr>
                <w:sz w:val="20"/>
                <w:szCs w:val="20"/>
              </w:rPr>
            </w:pPr>
            <w:r w:rsidRPr="00E55519">
              <w:rPr>
                <w:sz w:val="20"/>
                <w:szCs w:val="20"/>
              </w:rPr>
              <w:t>-0.0054</w:t>
            </w:r>
          </w:p>
        </w:tc>
        <w:tc>
          <w:tcPr>
            <w:tcW w:w="0" w:type="auto"/>
            <w:tcBorders>
              <w:top w:val="nil"/>
              <w:left w:val="nil"/>
              <w:bottom w:val="nil"/>
              <w:right w:val="nil"/>
            </w:tcBorders>
            <w:shd w:val="clear" w:color="auto" w:fill="auto"/>
            <w:noWrap/>
            <w:vAlign w:val="center"/>
            <w:hideMark/>
          </w:tcPr>
          <w:p w14:paraId="678E15EE" w14:textId="77777777" w:rsidR="0065555D" w:rsidRPr="00E55519" w:rsidRDefault="0065555D" w:rsidP="007049D5">
            <w:pPr>
              <w:spacing w:line="240" w:lineRule="auto"/>
              <w:jc w:val="center"/>
              <w:rPr>
                <w:sz w:val="20"/>
                <w:szCs w:val="20"/>
              </w:rPr>
            </w:pPr>
            <w:r w:rsidRPr="00E55519">
              <w:rPr>
                <w:sz w:val="20"/>
                <w:szCs w:val="20"/>
              </w:rPr>
              <w:t>(-0.4787)</w:t>
            </w:r>
          </w:p>
        </w:tc>
      </w:tr>
      <w:tr w:rsidR="0065555D" w:rsidRPr="00E55519" w14:paraId="1B45D97F"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10767498" w14:textId="77777777" w:rsidR="0065555D" w:rsidRPr="00E55519" w:rsidRDefault="0065555D" w:rsidP="007049D5">
            <w:pPr>
              <w:spacing w:after="0" w:line="240" w:lineRule="auto"/>
              <w:jc w:val="left"/>
              <w:rPr>
                <w:rFonts w:eastAsia="Times New Roman" w:cs="Times New Roman"/>
                <w:color w:val="000000"/>
                <w:sz w:val="20"/>
                <w:szCs w:val="20"/>
              </w:rPr>
            </w:pPr>
            <w:r w:rsidRPr="00E55519">
              <w:rPr>
                <w:rFonts w:eastAsia="Times New Roman" w:cs="Times New Roman"/>
                <w:color w:val="000000"/>
                <w:sz w:val="20"/>
                <w:szCs w:val="20"/>
              </w:rPr>
              <w:t>NOI / Prop Value</w:t>
            </w:r>
          </w:p>
        </w:tc>
        <w:tc>
          <w:tcPr>
            <w:tcW w:w="0" w:type="auto"/>
            <w:tcBorders>
              <w:top w:val="nil"/>
              <w:left w:val="nil"/>
              <w:bottom w:val="nil"/>
              <w:right w:val="nil"/>
            </w:tcBorders>
            <w:shd w:val="clear" w:color="auto" w:fill="auto"/>
            <w:noWrap/>
            <w:vAlign w:val="center"/>
            <w:hideMark/>
          </w:tcPr>
          <w:p w14:paraId="2B639EFF" w14:textId="77777777" w:rsidR="0065555D" w:rsidRPr="00E55519" w:rsidRDefault="0065555D" w:rsidP="007049D5">
            <w:pPr>
              <w:spacing w:line="240" w:lineRule="auto"/>
              <w:jc w:val="center"/>
              <w:rPr>
                <w:sz w:val="20"/>
                <w:szCs w:val="20"/>
              </w:rPr>
            </w:pPr>
            <w:r w:rsidRPr="00E55519">
              <w:rPr>
                <w:sz w:val="20"/>
                <w:szCs w:val="20"/>
              </w:rPr>
              <w:t>3.0912</w:t>
            </w:r>
          </w:p>
        </w:tc>
        <w:tc>
          <w:tcPr>
            <w:tcW w:w="0" w:type="auto"/>
            <w:tcBorders>
              <w:top w:val="nil"/>
              <w:left w:val="nil"/>
              <w:bottom w:val="nil"/>
              <w:right w:val="nil"/>
            </w:tcBorders>
            <w:shd w:val="clear" w:color="auto" w:fill="auto"/>
            <w:noWrap/>
            <w:vAlign w:val="center"/>
            <w:hideMark/>
          </w:tcPr>
          <w:p w14:paraId="27D763D2" w14:textId="77777777" w:rsidR="0065555D" w:rsidRPr="00E55519" w:rsidRDefault="0065555D" w:rsidP="007049D5">
            <w:pPr>
              <w:spacing w:line="240" w:lineRule="auto"/>
              <w:jc w:val="center"/>
              <w:rPr>
                <w:sz w:val="20"/>
                <w:szCs w:val="20"/>
              </w:rPr>
            </w:pPr>
            <w:r w:rsidRPr="00E55519">
              <w:rPr>
                <w:sz w:val="20"/>
                <w:szCs w:val="20"/>
              </w:rPr>
              <w:t>(5.5561)</w:t>
            </w:r>
          </w:p>
        </w:tc>
        <w:tc>
          <w:tcPr>
            <w:tcW w:w="0" w:type="auto"/>
            <w:tcBorders>
              <w:top w:val="nil"/>
              <w:left w:val="nil"/>
              <w:bottom w:val="nil"/>
              <w:right w:val="nil"/>
            </w:tcBorders>
            <w:shd w:val="clear" w:color="auto" w:fill="auto"/>
            <w:noWrap/>
            <w:vAlign w:val="center"/>
            <w:hideMark/>
          </w:tcPr>
          <w:p w14:paraId="0D1D3833" w14:textId="77777777" w:rsidR="0065555D" w:rsidRPr="00E55519" w:rsidRDefault="0065555D" w:rsidP="007049D5">
            <w:pPr>
              <w:spacing w:line="240" w:lineRule="auto"/>
              <w:jc w:val="center"/>
              <w:rPr>
                <w:sz w:val="20"/>
                <w:szCs w:val="20"/>
              </w:rPr>
            </w:pPr>
            <w:r w:rsidRPr="00E55519">
              <w:rPr>
                <w:sz w:val="20"/>
                <w:szCs w:val="20"/>
              </w:rPr>
              <w:t>3.0844</w:t>
            </w:r>
          </w:p>
        </w:tc>
        <w:tc>
          <w:tcPr>
            <w:tcW w:w="0" w:type="auto"/>
            <w:tcBorders>
              <w:top w:val="nil"/>
              <w:left w:val="nil"/>
              <w:bottom w:val="nil"/>
              <w:right w:val="nil"/>
            </w:tcBorders>
            <w:shd w:val="clear" w:color="auto" w:fill="auto"/>
            <w:noWrap/>
            <w:vAlign w:val="center"/>
            <w:hideMark/>
          </w:tcPr>
          <w:p w14:paraId="3501A5E4" w14:textId="77777777" w:rsidR="0065555D" w:rsidRPr="00E55519" w:rsidRDefault="0065555D" w:rsidP="007049D5">
            <w:pPr>
              <w:spacing w:line="240" w:lineRule="auto"/>
              <w:jc w:val="center"/>
              <w:rPr>
                <w:sz w:val="20"/>
                <w:szCs w:val="20"/>
              </w:rPr>
            </w:pPr>
            <w:r w:rsidRPr="00E55519">
              <w:rPr>
                <w:sz w:val="20"/>
                <w:szCs w:val="20"/>
              </w:rPr>
              <w:t>(5.5595)</w:t>
            </w:r>
          </w:p>
        </w:tc>
      </w:tr>
      <w:tr w:rsidR="0065555D" w:rsidRPr="00E55519" w14:paraId="4C9FBBDE"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61B5A36B" w14:textId="77777777" w:rsidR="0065555D" w:rsidRPr="00E55519" w:rsidRDefault="0065555D" w:rsidP="007049D5">
            <w:pPr>
              <w:spacing w:after="0" w:line="240" w:lineRule="auto"/>
              <w:jc w:val="left"/>
              <w:rPr>
                <w:rFonts w:eastAsia="Times New Roman" w:cs="Times New Roman"/>
                <w:color w:val="000000"/>
                <w:sz w:val="20"/>
                <w:szCs w:val="20"/>
              </w:rPr>
            </w:pPr>
            <w:r w:rsidRPr="00E55519">
              <w:rPr>
                <w:rFonts w:eastAsia="Times New Roman" w:cs="Times New Roman"/>
                <w:color w:val="000000"/>
                <w:sz w:val="20"/>
                <w:szCs w:val="20"/>
              </w:rPr>
              <w:t>Amortization Rate</w:t>
            </w:r>
          </w:p>
        </w:tc>
        <w:tc>
          <w:tcPr>
            <w:tcW w:w="0" w:type="auto"/>
            <w:tcBorders>
              <w:top w:val="nil"/>
              <w:left w:val="nil"/>
              <w:bottom w:val="nil"/>
              <w:right w:val="nil"/>
            </w:tcBorders>
            <w:shd w:val="clear" w:color="auto" w:fill="auto"/>
            <w:noWrap/>
            <w:vAlign w:val="center"/>
            <w:hideMark/>
          </w:tcPr>
          <w:p w14:paraId="104B2840" w14:textId="77777777" w:rsidR="0065555D" w:rsidRPr="00E55519" w:rsidRDefault="0065555D" w:rsidP="007049D5">
            <w:pPr>
              <w:spacing w:line="240" w:lineRule="auto"/>
              <w:jc w:val="center"/>
              <w:rPr>
                <w:sz w:val="20"/>
                <w:szCs w:val="20"/>
              </w:rPr>
            </w:pPr>
            <w:r w:rsidRPr="00E55519">
              <w:rPr>
                <w:sz w:val="20"/>
                <w:szCs w:val="20"/>
              </w:rPr>
              <w:t>-0.2720</w:t>
            </w:r>
          </w:p>
        </w:tc>
        <w:tc>
          <w:tcPr>
            <w:tcW w:w="0" w:type="auto"/>
            <w:tcBorders>
              <w:top w:val="nil"/>
              <w:left w:val="nil"/>
              <w:bottom w:val="nil"/>
              <w:right w:val="nil"/>
            </w:tcBorders>
            <w:shd w:val="clear" w:color="auto" w:fill="auto"/>
            <w:noWrap/>
            <w:vAlign w:val="center"/>
            <w:hideMark/>
          </w:tcPr>
          <w:p w14:paraId="2E53D3B4" w14:textId="77777777" w:rsidR="0065555D" w:rsidRPr="00E55519" w:rsidRDefault="0065555D" w:rsidP="007049D5">
            <w:pPr>
              <w:spacing w:line="240" w:lineRule="auto"/>
              <w:jc w:val="center"/>
              <w:rPr>
                <w:sz w:val="20"/>
                <w:szCs w:val="20"/>
              </w:rPr>
            </w:pPr>
            <w:r w:rsidRPr="00E55519">
              <w:rPr>
                <w:sz w:val="20"/>
                <w:szCs w:val="20"/>
              </w:rPr>
              <w:t>(-5.9630)</w:t>
            </w:r>
          </w:p>
        </w:tc>
        <w:tc>
          <w:tcPr>
            <w:tcW w:w="0" w:type="auto"/>
            <w:tcBorders>
              <w:top w:val="nil"/>
              <w:left w:val="nil"/>
              <w:bottom w:val="nil"/>
              <w:right w:val="nil"/>
            </w:tcBorders>
            <w:shd w:val="clear" w:color="auto" w:fill="auto"/>
            <w:noWrap/>
            <w:vAlign w:val="center"/>
            <w:hideMark/>
          </w:tcPr>
          <w:p w14:paraId="60ED598F" w14:textId="77777777" w:rsidR="0065555D" w:rsidRPr="00E55519" w:rsidRDefault="0065555D" w:rsidP="007049D5">
            <w:pPr>
              <w:spacing w:line="240" w:lineRule="auto"/>
              <w:jc w:val="center"/>
              <w:rPr>
                <w:sz w:val="20"/>
                <w:szCs w:val="20"/>
              </w:rPr>
            </w:pPr>
            <w:r w:rsidRPr="00E55519">
              <w:rPr>
                <w:sz w:val="20"/>
                <w:szCs w:val="20"/>
              </w:rPr>
              <w:t>-0.2721</w:t>
            </w:r>
          </w:p>
        </w:tc>
        <w:tc>
          <w:tcPr>
            <w:tcW w:w="0" w:type="auto"/>
            <w:tcBorders>
              <w:top w:val="nil"/>
              <w:left w:val="nil"/>
              <w:bottom w:val="nil"/>
              <w:right w:val="nil"/>
            </w:tcBorders>
            <w:shd w:val="clear" w:color="auto" w:fill="auto"/>
            <w:noWrap/>
            <w:vAlign w:val="center"/>
            <w:hideMark/>
          </w:tcPr>
          <w:p w14:paraId="0C91B37F" w14:textId="77777777" w:rsidR="0065555D" w:rsidRPr="00E55519" w:rsidRDefault="0065555D" w:rsidP="007049D5">
            <w:pPr>
              <w:spacing w:line="240" w:lineRule="auto"/>
              <w:jc w:val="center"/>
              <w:rPr>
                <w:sz w:val="20"/>
                <w:szCs w:val="20"/>
              </w:rPr>
            </w:pPr>
            <w:r w:rsidRPr="00E55519">
              <w:rPr>
                <w:sz w:val="20"/>
                <w:szCs w:val="20"/>
              </w:rPr>
              <w:t>(-5.9503)</w:t>
            </w:r>
          </w:p>
        </w:tc>
      </w:tr>
      <w:tr w:rsidR="0065555D" w:rsidRPr="00E55519" w14:paraId="445EDF9C"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26F71E59" w14:textId="77777777" w:rsidR="0065555D" w:rsidRPr="00E55519" w:rsidRDefault="0065555D" w:rsidP="007049D5">
            <w:pPr>
              <w:spacing w:after="0" w:line="240" w:lineRule="auto"/>
              <w:jc w:val="left"/>
              <w:rPr>
                <w:rFonts w:eastAsia="Times New Roman" w:cs="Times New Roman"/>
                <w:color w:val="000000"/>
                <w:sz w:val="20"/>
                <w:szCs w:val="20"/>
              </w:rPr>
            </w:pPr>
            <w:r w:rsidRPr="00E55519">
              <w:rPr>
                <w:rFonts w:eastAsia="Times New Roman" w:cs="Times New Roman"/>
                <w:color w:val="000000"/>
                <w:sz w:val="20"/>
                <w:szCs w:val="20"/>
              </w:rPr>
              <w:t>Occupancy Rate</w:t>
            </w:r>
          </w:p>
        </w:tc>
        <w:tc>
          <w:tcPr>
            <w:tcW w:w="0" w:type="auto"/>
            <w:tcBorders>
              <w:top w:val="nil"/>
              <w:left w:val="nil"/>
              <w:bottom w:val="nil"/>
              <w:right w:val="nil"/>
            </w:tcBorders>
            <w:shd w:val="clear" w:color="auto" w:fill="auto"/>
            <w:noWrap/>
            <w:vAlign w:val="center"/>
            <w:hideMark/>
          </w:tcPr>
          <w:p w14:paraId="715408FB" w14:textId="77777777" w:rsidR="0065555D" w:rsidRPr="00E55519" w:rsidRDefault="0065555D" w:rsidP="007049D5">
            <w:pPr>
              <w:spacing w:line="240" w:lineRule="auto"/>
              <w:jc w:val="center"/>
              <w:rPr>
                <w:sz w:val="20"/>
                <w:szCs w:val="20"/>
              </w:rPr>
            </w:pPr>
            <w:r w:rsidRPr="00E55519">
              <w:rPr>
                <w:sz w:val="20"/>
                <w:szCs w:val="20"/>
              </w:rPr>
              <w:t>-0.0011</w:t>
            </w:r>
          </w:p>
        </w:tc>
        <w:tc>
          <w:tcPr>
            <w:tcW w:w="0" w:type="auto"/>
            <w:tcBorders>
              <w:top w:val="nil"/>
              <w:left w:val="nil"/>
              <w:bottom w:val="nil"/>
              <w:right w:val="nil"/>
            </w:tcBorders>
            <w:shd w:val="clear" w:color="auto" w:fill="auto"/>
            <w:noWrap/>
            <w:vAlign w:val="center"/>
            <w:hideMark/>
          </w:tcPr>
          <w:p w14:paraId="3FE97E6B" w14:textId="77777777" w:rsidR="0065555D" w:rsidRPr="00E55519" w:rsidRDefault="0065555D" w:rsidP="007049D5">
            <w:pPr>
              <w:spacing w:line="240" w:lineRule="auto"/>
              <w:jc w:val="center"/>
              <w:rPr>
                <w:sz w:val="20"/>
                <w:szCs w:val="20"/>
              </w:rPr>
            </w:pPr>
            <w:r w:rsidRPr="00E55519">
              <w:rPr>
                <w:sz w:val="20"/>
                <w:szCs w:val="20"/>
              </w:rPr>
              <w:t>(-1.9656)</w:t>
            </w:r>
          </w:p>
        </w:tc>
        <w:tc>
          <w:tcPr>
            <w:tcW w:w="0" w:type="auto"/>
            <w:tcBorders>
              <w:top w:val="nil"/>
              <w:left w:val="nil"/>
              <w:bottom w:val="nil"/>
              <w:right w:val="nil"/>
            </w:tcBorders>
            <w:shd w:val="clear" w:color="auto" w:fill="auto"/>
            <w:noWrap/>
            <w:vAlign w:val="center"/>
            <w:hideMark/>
          </w:tcPr>
          <w:p w14:paraId="7BA3A4CF" w14:textId="77777777" w:rsidR="0065555D" w:rsidRPr="00E55519" w:rsidRDefault="0065555D" w:rsidP="007049D5">
            <w:pPr>
              <w:spacing w:line="240" w:lineRule="auto"/>
              <w:jc w:val="center"/>
              <w:rPr>
                <w:sz w:val="20"/>
                <w:szCs w:val="20"/>
              </w:rPr>
            </w:pPr>
            <w:r w:rsidRPr="00E55519">
              <w:rPr>
                <w:sz w:val="20"/>
                <w:szCs w:val="20"/>
              </w:rPr>
              <w:t>-0.0012</w:t>
            </w:r>
          </w:p>
        </w:tc>
        <w:tc>
          <w:tcPr>
            <w:tcW w:w="0" w:type="auto"/>
            <w:tcBorders>
              <w:top w:val="nil"/>
              <w:left w:val="nil"/>
              <w:bottom w:val="nil"/>
              <w:right w:val="nil"/>
            </w:tcBorders>
            <w:shd w:val="clear" w:color="auto" w:fill="auto"/>
            <w:noWrap/>
            <w:vAlign w:val="center"/>
            <w:hideMark/>
          </w:tcPr>
          <w:p w14:paraId="4FF6A683" w14:textId="77777777" w:rsidR="0065555D" w:rsidRPr="00E55519" w:rsidRDefault="0065555D" w:rsidP="007049D5">
            <w:pPr>
              <w:spacing w:line="240" w:lineRule="auto"/>
              <w:jc w:val="center"/>
              <w:rPr>
                <w:sz w:val="20"/>
                <w:szCs w:val="20"/>
              </w:rPr>
            </w:pPr>
            <w:r w:rsidRPr="00E55519">
              <w:rPr>
                <w:sz w:val="20"/>
                <w:szCs w:val="20"/>
              </w:rPr>
              <w:t>(-2.1587)</w:t>
            </w:r>
          </w:p>
        </w:tc>
      </w:tr>
      <w:tr w:rsidR="0065555D" w:rsidRPr="00E55519" w14:paraId="7AE241DB"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06B52C5B" w14:textId="77777777" w:rsidR="0065555D" w:rsidRPr="00E55519" w:rsidRDefault="0065555D" w:rsidP="007049D5">
            <w:pPr>
              <w:spacing w:after="0" w:line="240" w:lineRule="auto"/>
              <w:jc w:val="left"/>
              <w:rPr>
                <w:rFonts w:eastAsia="Times New Roman" w:cs="Times New Roman"/>
                <w:color w:val="000000"/>
                <w:sz w:val="20"/>
                <w:szCs w:val="20"/>
              </w:rPr>
            </w:pPr>
            <w:r w:rsidRPr="00E55519">
              <w:rPr>
                <w:rFonts w:eastAsia="Times New Roman" w:cs="Times New Roman"/>
                <w:color w:val="000000"/>
                <w:sz w:val="20"/>
                <w:szCs w:val="20"/>
              </w:rPr>
              <w:t>Log(Property Age)</w:t>
            </w:r>
          </w:p>
        </w:tc>
        <w:tc>
          <w:tcPr>
            <w:tcW w:w="0" w:type="auto"/>
            <w:tcBorders>
              <w:top w:val="nil"/>
              <w:left w:val="nil"/>
              <w:bottom w:val="nil"/>
              <w:right w:val="nil"/>
            </w:tcBorders>
            <w:shd w:val="clear" w:color="auto" w:fill="auto"/>
            <w:noWrap/>
            <w:vAlign w:val="center"/>
            <w:hideMark/>
          </w:tcPr>
          <w:p w14:paraId="6F7359E0" w14:textId="77777777" w:rsidR="0065555D" w:rsidRPr="00E55519" w:rsidRDefault="0065555D" w:rsidP="007049D5">
            <w:pPr>
              <w:spacing w:line="240" w:lineRule="auto"/>
              <w:jc w:val="center"/>
              <w:rPr>
                <w:sz w:val="20"/>
                <w:szCs w:val="20"/>
              </w:rPr>
            </w:pPr>
            <w:r w:rsidRPr="00E55519">
              <w:rPr>
                <w:sz w:val="20"/>
                <w:szCs w:val="20"/>
              </w:rPr>
              <w:t>0.0247</w:t>
            </w:r>
          </w:p>
        </w:tc>
        <w:tc>
          <w:tcPr>
            <w:tcW w:w="0" w:type="auto"/>
            <w:tcBorders>
              <w:top w:val="nil"/>
              <w:left w:val="nil"/>
              <w:bottom w:val="nil"/>
              <w:right w:val="nil"/>
            </w:tcBorders>
            <w:shd w:val="clear" w:color="auto" w:fill="auto"/>
            <w:noWrap/>
            <w:vAlign w:val="center"/>
            <w:hideMark/>
          </w:tcPr>
          <w:p w14:paraId="374BD6C5" w14:textId="77777777" w:rsidR="0065555D" w:rsidRPr="00E55519" w:rsidRDefault="0065555D" w:rsidP="007049D5">
            <w:pPr>
              <w:spacing w:line="240" w:lineRule="auto"/>
              <w:jc w:val="center"/>
              <w:rPr>
                <w:sz w:val="20"/>
                <w:szCs w:val="20"/>
              </w:rPr>
            </w:pPr>
            <w:r w:rsidRPr="00E55519">
              <w:rPr>
                <w:sz w:val="20"/>
                <w:szCs w:val="20"/>
              </w:rPr>
              <w:t>(7.2774)</w:t>
            </w:r>
          </w:p>
        </w:tc>
        <w:tc>
          <w:tcPr>
            <w:tcW w:w="0" w:type="auto"/>
            <w:tcBorders>
              <w:top w:val="nil"/>
              <w:left w:val="nil"/>
              <w:bottom w:val="nil"/>
              <w:right w:val="nil"/>
            </w:tcBorders>
            <w:shd w:val="clear" w:color="auto" w:fill="auto"/>
            <w:noWrap/>
            <w:vAlign w:val="center"/>
            <w:hideMark/>
          </w:tcPr>
          <w:p w14:paraId="737B08B9" w14:textId="77777777" w:rsidR="0065555D" w:rsidRPr="00E55519" w:rsidRDefault="0065555D" w:rsidP="007049D5">
            <w:pPr>
              <w:spacing w:line="240" w:lineRule="auto"/>
              <w:jc w:val="center"/>
              <w:rPr>
                <w:sz w:val="20"/>
                <w:szCs w:val="20"/>
              </w:rPr>
            </w:pPr>
            <w:r w:rsidRPr="00E55519">
              <w:rPr>
                <w:sz w:val="20"/>
                <w:szCs w:val="20"/>
              </w:rPr>
              <w:t>0.0232</w:t>
            </w:r>
          </w:p>
        </w:tc>
        <w:tc>
          <w:tcPr>
            <w:tcW w:w="0" w:type="auto"/>
            <w:tcBorders>
              <w:top w:val="nil"/>
              <w:left w:val="nil"/>
              <w:bottom w:val="nil"/>
              <w:right w:val="nil"/>
            </w:tcBorders>
            <w:shd w:val="clear" w:color="auto" w:fill="auto"/>
            <w:noWrap/>
            <w:vAlign w:val="center"/>
            <w:hideMark/>
          </w:tcPr>
          <w:p w14:paraId="520A9425" w14:textId="77777777" w:rsidR="0065555D" w:rsidRPr="00E55519" w:rsidRDefault="0065555D" w:rsidP="007049D5">
            <w:pPr>
              <w:spacing w:line="240" w:lineRule="auto"/>
              <w:jc w:val="center"/>
              <w:rPr>
                <w:sz w:val="20"/>
                <w:szCs w:val="20"/>
              </w:rPr>
            </w:pPr>
            <w:r w:rsidRPr="00E55519">
              <w:rPr>
                <w:sz w:val="20"/>
                <w:szCs w:val="20"/>
              </w:rPr>
              <w:t>(6.8139)</w:t>
            </w:r>
          </w:p>
        </w:tc>
      </w:tr>
      <w:tr w:rsidR="0065555D" w:rsidRPr="00E55519" w14:paraId="7FB371AC"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55055669" w14:textId="77777777" w:rsidR="0065555D" w:rsidRPr="00E55519" w:rsidRDefault="0065555D" w:rsidP="007049D5">
            <w:pPr>
              <w:spacing w:after="0" w:line="240" w:lineRule="auto"/>
              <w:jc w:val="left"/>
              <w:rPr>
                <w:rFonts w:eastAsia="Times New Roman" w:cs="Times New Roman"/>
                <w:color w:val="000000"/>
                <w:sz w:val="20"/>
                <w:szCs w:val="20"/>
              </w:rPr>
            </w:pPr>
            <w:r w:rsidRPr="00E55519">
              <w:rPr>
                <w:rFonts w:eastAsia="Times New Roman" w:cs="Times New Roman"/>
                <w:color w:val="000000"/>
                <w:sz w:val="20"/>
                <w:szCs w:val="20"/>
              </w:rPr>
              <w:t>Years to Maturity</w:t>
            </w:r>
          </w:p>
        </w:tc>
        <w:tc>
          <w:tcPr>
            <w:tcW w:w="0" w:type="auto"/>
            <w:tcBorders>
              <w:top w:val="nil"/>
              <w:left w:val="nil"/>
              <w:bottom w:val="nil"/>
              <w:right w:val="nil"/>
            </w:tcBorders>
            <w:shd w:val="clear" w:color="auto" w:fill="auto"/>
            <w:noWrap/>
            <w:vAlign w:val="center"/>
            <w:hideMark/>
          </w:tcPr>
          <w:p w14:paraId="48D0CAB1" w14:textId="77777777" w:rsidR="0065555D" w:rsidRPr="00E55519" w:rsidRDefault="0065555D" w:rsidP="007049D5">
            <w:pPr>
              <w:spacing w:line="240" w:lineRule="auto"/>
              <w:jc w:val="center"/>
              <w:rPr>
                <w:sz w:val="20"/>
                <w:szCs w:val="20"/>
              </w:rPr>
            </w:pPr>
            <w:r w:rsidRPr="00E55519">
              <w:rPr>
                <w:sz w:val="20"/>
                <w:szCs w:val="20"/>
              </w:rPr>
              <w:t>-0.0309</w:t>
            </w:r>
          </w:p>
        </w:tc>
        <w:tc>
          <w:tcPr>
            <w:tcW w:w="0" w:type="auto"/>
            <w:tcBorders>
              <w:top w:val="nil"/>
              <w:left w:val="nil"/>
              <w:bottom w:val="nil"/>
              <w:right w:val="nil"/>
            </w:tcBorders>
            <w:shd w:val="clear" w:color="auto" w:fill="auto"/>
            <w:noWrap/>
            <w:vAlign w:val="center"/>
            <w:hideMark/>
          </w:tcPr>
          <w:p w14:paraId="0CFCCC42" w14:textId="77777777" w:rsidR="0065555D" w:rsidRPr="00E55519" w:rsidRDefault="0065555D" w:rsidP="007049D5">
            <w:pPr>
              <w:spacing w:line="240" w:lineRule="auto"/>
              <w:jc w:val="center"/>
              <w:rPr>
                <w:sz w:val="20"/>
                <w:szCs w:val="20"/>
              </w:rPr>
            </w:pPr>
            <w:r w:rsidRPr="00E55519">
              <w:rPr>
                <w:sz w:val="20"/>
                <w:szCs w:val="20"/>
              </w:rPr>
              <w:t>(-7.3035)</w:t>
            </w:r>
          </w:p>
        </w:tc>
        <w:tc>
          <w:tcPr>
            <w:tcW w:w="0" w:type="auto"/>
            <w:tcBorders>
              <w:top w:val="nil"/>
              <w:left w:val="nil"/>
              <w:bottom w:val="nil"/>
              <w:right w:val="nil"/>
            </w:tcBorders>
            <w:shd w:val="clear" w:color="auto" w:fill="auto"/>
            <w:noWrap/>
            <w:vAlign w:val="center"/>
            <w:hideMark/>
          </w:tcPr>
          <w:p w14:paraId="5934BF4A" w14:textId="77777777" w:rsidR="0065555D" w:rsidRPr="00E55519" w:rsidRDefault="0065555D" w:rsidP="007049D5">
            <w:pPr>
              <w:spacing w:line="240" w:lineRule="auto"/>
              <w:jc w:val="center"/>
              <w:rPr>
                <w:sz w:val="20"/>
                <w:szCs w:val="20"/>
              </w:rPr>
            </w:pPr>
            <w:r w:rsidRPr="00E55519">
              <w:rPr>
                <w:sz w:val="20"/>
                <w:szCs w:val="20"/>
              </w:rPr>
              <w:t>-0.0316</w:t>
            </w:r>
          </w:p>
        </w:tc>
        <w:tc>
          <w:tcPr>
            <w:tcW w:w="0" w:type="auto"/>
            <w:tcBorders>
              <w:top w:val="nil"/>
              <w:left w:val="nil"/>
              <w:bottom w:val="nil"/>
              <w:right w:val="nil"/>
            </w:tcBorders>
            <w:shd w:val="clear" w:color="auto" w:fill="auto"/>
            <w:noWrap/>
            <w:vAlign w:val="center"/>
            <w:hideMark/>
          </w:tcPr>
          <w:p w14:paraId="579B6661" w14:textId="77777777" w:rsidR="0065555D" w:rsidRPr="00E55519" w:rsidRDefault="0065555D" w:rsidP="007049D5">
            <w:pPr>
              <w:spacing w:line="240" w:lineRule="auto"/>
              <w:jc w:val="center"/>
              <w:rPr>
                <w:sz w:val="20"/>
                <w:szCs w:val="20"/>
              </w:rPr>
            </w:pPr>
            <w:r w:rsidRPr="00E55519">
              <w:rPr>
                <w:sz w:val="20"/>
                <w:szCs w:val="20"/>
              </w:rPr>
              <w:t>(-7.4090)</w:t>
            </w:r>
          </w:p>
        </w:tc>
      </w:tr>
      <w:tr w:rsidR="0065555D" w:rsidRPr="00E55519" w14:paraId="0585032D"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221CDCE8" w14:textId="77777777" w:rsidR="0065555D" w:rsidRPr="00E55519" w:rsidRDefault="0065555D" w:rsidP="007049D5">
            <w:pPr>
              <w:spacing w:after="0" w:line="240" w:lineRule="auto"/>
              <w:jc w:val="left"/>
              <w:rPr>
                <w:rFonts w:eastAsia="Times New Roman" w:cs="Times New Roman"/>
                <w:sz w:val="20"/>
                <w:szCs w:val="20"/>
              </w:rPr>
            </w:pPr>
          </w:p>
        </w:tc>
        <w:tc>
          <w:tcPr>
            <w:tcW w:w="0" w:type="auto"/>
            <w:tcBorders>
              <w:top w:val="nil"/>
              <w:left w:val="nil"/>
              <w:bottom w:val="nil"/>
              <w:right w:val="nil"/>
            </w:tcBorders>
            <w:shd w:val="clear" w:color="auto" w:fill="auto"/>
            <w:noWrap/>
            <w:vAlign w:val="center"/>
            <w:hideMark/>
          </w:tcPr>
          <w:p w14:paraId="485368DA" w14:textId="77777777" w:rsidR="0065555D" w:rsidRPr="00E55519" w:rsidRDefault="0065555D" w:rsidP="007049D5">
            <w:pPr>
              <w:spacing w:after="0" w:line="240" w:lineRule="auto"/>
              <w:jc w:val="center"/>
              <w:rPr>
                <w:rFonts w:eastAsia="Times New Roman" w:cs="Times New Roman"/>
                <w:sz w:val="20"/>
                <w:szCs w:val="20"/>
              </w:rPr>
            </w:pPr>
          </w:p>
        </w:tc>
        <w:tc>
          <w:tcPr>
            <w:tcW w:w="0" w:type="auto"/>
            <w:tcBorders>
              <w:top w:val="nil"/>
              <w:left w:val="nil"/>
              <w:bottom w:val="nil"/>
              <w:right w:val="nil"/>
            </w:tcBorders>
            <w:shd w:val="clear" w:color="auto" w:fill="auto"/>
            <w:noWrap/>
            <w:vAlign w:val="center"/>
            <w:hideMark/>
          </w:tcPr>
          <w:p w14:paraId="42EA525B" w14:textId="77777777" w:rsidR="0065555D" w:rsidRPr="00E55519" w:rsidRDefault="0065555D" w:rsidP="007049D5">
            <w:pPr>
              <w:spacing w:after="0" w:line="240" w:lineRule="auto"/>
              <w:jc w:val="center"/>
              <w:rPr>
                <w:rFonts w:eastAsia="Times New Roman" w:cs="Times New Roman"/>
                <w:sz w:val="20"/>
                <w:szCs w:val="20"/>
              </w:rPr>
            </w:pPr>
          </w:p>
        </w:tc>
        <w:tc>
          <w:tcPr>
            <w:tcW w:w="0" w:type="auto"/>
            <w:tcBorders>
              <w:top w:val="nil"/>
              <w:left w:val="nil"/>
              <w:bottom w:val="nil"/>
              <w:right w:val="nil"/>
            </w:tcBorders>
            <w:shd w:val="clear" w:color="auto" w:fill="auto"/>
            <w:noWrap/>
            <w:vAlign w:val="center"/>
            <w:hideMark/>
          </w:tcPr>
          <w:p w14:paraId="32663AC3" w14:textId="77777777" w:rsidR="0065555D" w:rsidRPr="00E55519" w:rsidRDefault="0065555D" w:rsidP="007049D5">
            <w:pPr>
              <w:spacing w:after="0" w:line="240" w:lineRule="auto"/>
              <w:jc w:val="center"/>
              <w:rPr>
                <w:rFonts w:eastAsia="Times New Roman" w:cs="Times New Roman"/>
                <w:sz w:val="20"/>
                <w:szCs w:val="20"/>
              </w:rPr>
            </w:pPr>
          </w:p>
        </w:tc>
        <w:tc>
          <w:tcPr>
            <w:tcW w:w="0" w:type="auto"/>
            <w:tcBorders>
              <w:top w:val="nil"/>
              <w:left w:val="nil"/>
              <w:bottom w:val="nil"/>
              <w:right w:val="nil"/>
            </w:tcBorders>
            <w:shd w:val="clear" w:color="auto" w:fill="auto"/>
            <w:noWrap/>
            <w:vAlign w:val="center"/>
            <w:hideMark/>
          </w:tcPr>
          <w:p w14:paraId="16E90C2E" w14:textId="77777777" w:rsidR="0065555D" w:rsidRPr="00E55519" w:rsidRDefault="0065555D" w:rsidP="007049D5">
            <w:pPr>
              <w:spacing w:after="0" w:line="240" w:lineRule="auto"/>
              <w:jc w:val="center"/>
              <w:rPr>
                <w:rFonts w:eastAsia="Times New Roman" w:cs="Times New Roman"/>
                <w:sz w:val="20"/>
                <w:szCs w:val="20"/>
              </w:rPr>
            </w:pPr>
          </w:p>
        </w:tc>
      </w:tr>
      <w:tr w:rsidR="0065555D" w:rsidRPr="00E55519" w14:paraId="6BC73BAF"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5AD78D3E" w14:textId="77777777" w:rsidR="0065555D" w:rsidRPr="00E55519" w:rsidRDefault="0065555D" w:rsidP="007049D5">
            <w:pPr>
              <w:spacing w:after="0" w:line="240" w:lineRule="auto"/>
              <w:jc w:val="left"/>
              <w:rPr>
                <w:rFonts w:eastAsia="Times New Roman" w:cs="Times New Roman"/>
                <w:sz w:val="20"/>
                <w:szCs w:val="20"/>
              </w:rPr>
            </w:pPr>
            <w:r w:rsidRPr="00E55519">
              <w:rPr>
                <w:rFonts w:eastAsia="Times New Roman" w:cs="Times New Roman"/>
                <w:sz w:val="20"/>
                <w:szCs w:val="20"/>
              </w:rPr>
              <w:t>Month FE</w:t>
            </w:r>
          </w:p>
        </w:tc>
        <w:tc>
          <w:tcPr>
            <w:tcW w:w="0" w:type="auto"/>
            <w:gridSpan w:val="2"/>
            <w:tcBorders>
              <w:top w:val="nil"/>
              <w:left w:val="nil"/>
              <w:bottom w:val="nil"/>
              <w:right w:val="nil"/>
            </w:tcBorders>
            <w:shd w:val="clear" w:color="auto" w:fill="auto"/>
            <w:noWrap/>
            <w:vAlign w:val="center"/>
            <w:hideMark/>
          </w:tcPr>
          <w:p w14:paraId="1A5270B2" w14:textId="77777777" w:rsidR="0065555D" w:rsidRPr="00E55519" w:rsidRDefault="0065555D" w:rsidP="007049D5">
            <w:pPr>
              <w:spacing w:after="0" w:line="240" w:lineRule="auto"/>
              <w:jc w:val="center"/>
              <w:rPr>
                <w:rFonts w:eastAsia="Times New Roman" w:cs="Times New Roman"/>
                <w:sz w:val="20"/>
                <w:szCs w:val="20"/>
              </w:rPr>
            </w:pPr>
            <w:r w:rsidRPr="00E55519">
              <w:rPr>
                <w:rFonts w:eastAsia="Times New Roman" w:cs="Times New Roman"/>
                <w:sz w:val="20"/>
                <w:szCs w:val="20"/>
              </w:rPr>
              <w:t>Yes</w:t>
            </w:r>
          </w:p>
        </w:tc>
        <w:tc>
          <w:tcPr>
            <w:tcW w:w="0" w:type="auto"/>
            <w:gridSpan w:val="2"/>
            <w:tcBorders>
              <w:top w:val="nil"/>
              <w:left w:val="nil"/>
              <w:bottom w:val="nil"/>
              <w:right w:val="nil"/>
            </w:tcBorders>
            <w:shd w:val="clear" w:color="auto" w:fill="auto"/>
            <w:noWrap/>
            <w:vAlign w:val="center"/>
            <w:hideMark/>
          </w:tcPr>
          <w:p w14:paraId="67BA2917" w14:textId="77777777" w:rsidR="0065555D" w:rsidRPr="00E55519" w:rsidRDefault="0065555D" w:rsidP="007049D5">
            <w:pPr>
              <w:spacing w:after="0" w:line="240" w:lineRule="auto"/>
              <w:jc w:val="center"/>
              <w:rPr>
                <w:rFonts w:eastAsia="Times New Roman" w:cs="Times New Roman"/>
                <w:sz w:val="20"/>
                <w:szCs w:val="20"/>
              </w:rPr>
            </w:pPr>
            <w:r w:rsidRPr="00E55519">
              <w:rPr>
                <w:rFonts w:eastAsia="Times New Roman" w:cs="Times New Roman"/>
                <w:sz w:val="20"/>
                <w:szCs w:val="20"/>
              </w:rPr>
              <w:t>Yes</w:t>
            </w:r>
          </w:p>
        </w:tc>
      </w:tr>
      <w:tr w:rsidR="0065555D" w:rsidRPr="00E55519" w14:paraId="2E8131F6"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55498ABB" w14:textId="77777777" w:rsidR="0065555D" w:rsidRPr="00E55519" w:rsidRDefault="0065555D" w:rsidP="007049D5">
            <w:pPr>
              <w:spacing w:after="0" w:line="240" w:lineRule="auto"/>
              <w:jc w:val="left"/>
              <w:rPr>
                <w:rFonts w:eastAsia="Times New Roman" w:cs="Times New Roman"/>
                <w:sz w:val="20"/>
                <w:szCs w:val="20"/>
              </w:rPr>
            </w:pPr>
            <w:r w:rsidRPr="00E55519">
              <w:rPr>
                <w:rFonts w:eastAsia="Times New Roman" w:cs="Times New Roman"/>
                <w:sz w:val="20"/>
                <w:szCs w:val="20"/>
              </w:rPr>
              <w:t>N</w:t>
            </w:r>
          </w:p>
        </w:tc>
        <w:tc>
          <w:tcPr>
            <w:tcW w:w="0" w:type="auto"/>
            <w:gridSpan w:val="2"/>
            <w:tcBorders>
              <w:top w:val="nil"/>
              <w:left w:val="nil"/>
              <w:bottom w:val="nil"/>
              <w:right w:val="nil"/>
            </w:tcBorders>
            <w:shd w:val="clear" w:color="auto" w:fill="auto"/>
            <w:noWrap/>
            <w:vAlign w:val="center"/>
            <w:hideMark/>
          </w:tcPr>
          <w:p w14:paraId="015BFFFA" w14:textId="77777777" w:rsidR="0065555D" w:rsidRPr="00E55519" w:rsidRDefault="0065555D" w:rsidP="007049D5">
            <w:pPr>
              <w:spacing w:after="0" w:line="240" w:lineRule="auto"/>
              <w:jc w:val="center"/>
              <w:rPr>
                <w:rFonts w:eastAsia="Times New Roman" w:cs="Times New Roman"/>
                <w:sz w:val="20"/>
                <w:szCs w:val="20"/>
              </w:rPr>
            </w:pPr>
            <w:r w:rsidRPr="00E55519">
              <w:rPr>
                <w:rFonts w:eastAsia="Times New Roman" w:cs="Times New Roman"/>
                <w:sz w:val="20"/>
                <w:szCs w:val="20"/>
              </w:rPr>
              <w:t>18,815</w:t>
            </w:r>
          </w:p>
        </w:tc>
        <w:tc>
          <w:tcPr>
            <w:tcW w:w="0" w:type="auto"/>
            <w:gridSpan w:val="2"/>
            <w:tcBorders>
              <w:top w:val="nil"/>
              <w:left w:val="nil"/>
              <w:bottom w:val="nil"/>
              <w:right w:val="nil"/>
            </w:tcBorders>
            <w:shd w:val="clear" w:color="auto" w:fill="auto"/>
            <w:noWrap/>
            <w:vAlign w:val="center"/>
            <w:hideMark/>
          </w:tcPr>
          <w:p w14:paraId="4177DDB5" w14:textId="77777777" w:rsidR="0065555D" w:rsidRPr="00E55519" w:rsidRDefault="0065555D" w:rsidP="007049D5">
            <w:pPr>
              <w:spacing w:after="0" w:line="240" w:lineRule="auto"/>
              <w:jc w:val="center"/>
              <w:rPr>
                <w:rFonts w:eastAsia="Times New Roman" w:cs="Times New Roman"/>
                <w:sz w:val="20"/>
                <w:szCs w:val="20"/>
              </w:rPr>
            </w:pPr>
            <w:r w:rsidRPr="00E55519">
              <w:rPr>
                <w:rFonts w:eastAsia="Times New Roman" w:cs="Times New Roman"/>
                <w:sz w:val="20"/>
                <w:szCs w:val="20"/>
              </w:rPr>
              <w:t>18,815</w:t>
            </w:r>
          </w:p>
        </w:tc>
      </w:tr>
      <w:tr w:rsidR="0065555D" w:rsidRPr="00E55519" w14:paraId="31C7FFE6" w14:textId="77777777" w:rsidTr="007049D5">
        <w:trPr>
          <w:trHeight w:val="264"/>
          <w:jc w:val="center"/>
        </w:trPr>
        <w:tc>
          <w:tcPr>
            <w:tcW w:w="0" w:type="auto"/>
            <w:tcBorders>
              <w:top w:val="nil"/>
              <w:left w:val="nil"/>
              <w:bottom w:val="single" w:sz="4" w:space="0" w:color="auto"/>
              <w:right w:val="nil"/>
            </w:tcBorders>
            <w:shd w:val="clear" w:color="auto" w:fill="auto"/>
            <w:noWrap/>
            <w:vAlign w:val="center"/>
            <w:hideMark/>
          </w:tcPr>
          <w:p w14:paraId="2D667B11" w14:textId="77777777" w:rsidR="0065555D" w:rsidRPr="00E55519" w:rsidRDefault="0065555D" w:rsidP="007049D5">
            <w:pPr>
              <w:spacing w:after="0" w:line="240" w:lineRule="auto"/>
              <w:jc w:val="left"/>
              <w:rPr>
                <w:rFonts w:eastAsia="Times New Roman" w:cs="Times New Roman"/>
                <w:sz w:val="20"/>
                <w:szCs w:val="20"/>
              </w:rPr>
            </w:pPr>
            <w:r w:rsidRPr="00E55519">
              <w:rPr>
                <w:rFonts w:eastAsia="Times New Roman" w:cs="Times New Roman"/>
                <w:sz w:val="20"/>
                <w:szCs w:val="20"/>
              </w:rPr>
              <w:t>R-squared</w:t>
            </w:r>
          </w:p>
        </w:tc>
        <w:tc>
          <w:tcPr>
            <w:tcW w:w="0" w:type="auto"/>
            <w:gridSpan w:val="2"/>
            <w:tcBorders>
              <w:top w:val="nil"/>
              <w:left w:val="nil"/>
              <w:bottom w:val="single" w:sz="4" w:space="0" w:color="auto"/>
              <w:right w:val="nil"/>
            </w:tcBorders>
            <w:shd w:val="clear" w:color="auto" w:fill="auto"/>
            <w:noWrap/>
            <w:vAlign w:val="center"/>
            <w:hideMark/>
          </w:tcPr>
          <w:p w14:paraId="4F8C06B4" w14:textId="77777777" w:rsidR="0065555D" w:rsidRPr="00E55519" w:rsidRDefault="0065555D" w:rsidP="007049D5">
            <w:pPr>
              <w:spacing w:after="0" w:line="240" w:lineRule="auto"/>
              <w:jc w:val="center"/>
              <w:rPr>
                <w:rFonts w:eastAsia="Times New Roman" w:cs="Times New Roman"/>
                <w:sz w:val="20"/>
                <w:szCs w:val="20"/>
              </w:rPr>
            </w:pPr>
            <w:r w:rsidRPr="00E55519">
              <w:rPr>
                <w:rFonts w:eastAsia="Times New Roman" w:cs="Times New Roman"/>
                <w:sz w:val="20"/>
                <w:szCs w:val="20"/>
              </w:rPr>
              <w:t>0.</w:t>
            </w:r>
            <w:r>
              <w:rPr>
                <w:rFonts w:eastAsia="Times New Roman" w:cs="Times New Roman"/>
                <w:sz w:val="20"/>
                <w:szCs w:val="20"/>
              </w:rPr>
              <w:t>1772</w:t>
            </w:r>
          </w:p>
        </w:tc>
        <w:tc>
          <w:tcPr>
            <w:tcW w:w="0" w:type="auto"/>
            <w:gridSpan w:val="2"/>
            <w:tcBorders>
              <w:top w:val="nil"/>
              <w:left w:val="nil"/>
              <w:bottom w:val="single" w:sz="4" w:space="0" w:color="auto"/>
              <w:right w:val="nil"/>
            </w:tcBorders>
            <w:shd w:val="clear" w:color="auto" w:fill="auto"/>
            <w:noWrap/>
            <w:vAlign w:val="center"/>
            <w:hideMark/>
          </w:tcPr>
          <w:p w14:paraId="49EA04D3" w14:textId="77777777" w:rsidR="0065555D" w:rsidRPr="00E55519" w:rsidRDefault="0065555D" w:rsidP="007049D5">
            <w:pPr>
              <w:spacing w:after="0" w:line="240" w:lineRule="auto"/>
              <w:jc w:val="center"/>
              <w:rPr>
                <w:rFonts w:eastAsia="Times New Roman" w:cs="Times New Roman"/>
                <w:sz w:val="20"/>
                <w:szCs w:val="20"/>
              </w:rPr>
            </w:pPr>
            <w:r>
              <w:rPr>
                <w:rFonts w:eastAsia="Times New Roman" w:cs="Times New Roman"/>
                <w:sz w:val="20"/>
                <w:szCs w:val="20"/>
              </w:rPr>
              <w:t>0.1783</w:t>
            </w:r>
          </w:p>
        </w:tc>
      </w:tr>
    </w:tbl>
    <w:p w14:paraId="60B0EDF3" w14:textId="77777777" w:rsidR="0065555D" w:rsidRPr="008C73FB" w:rsidRDefault="0065555D" w:rsidP="00FB3903">
      <w:pPr>
        <w:spacing w:line="240" w:lineRule="auto"/>
        <w:rPr>
          <w:rFonts w:eastAsia="Times New Roman" w:cs="Times New Roman"/>
        </w:rPr>
      </w:pPr>
    </w:p>
    <w:p w14:paraId="7EA5637B" w14:textId="77777777" w:rsidR="0065555D" w:rsidRDefault="0065555D" w:rsidP="00FB3903">
      <w:pPr>
        <w:spacing w:line="240" w:lineRule="auto"/>
        <w:rPr>
          <w:rFonts w:eastAsia="Times New Roman" w:cs="Times New Roman"/>
        </w:rPr>
      </w:pPr>
    </w:p>
    <w:p w14:paraId="29E66E94" w14:textId="77777777" w:rsidR="0065555D" w:rsidRDefault="0065555D" w:rsidP="00FB3903">
      <w:pPr>
        <w:spacing w:line="240" w:lineRule="auto"/>
        <w:rPr>
          <w:rFonts w:eastAsia="Times New Roman" w:cs="Times New Roman"/>
        </w:rPr>
      </w:pPr>
    </w:p>
    <w:p w14:paraId="082CF837" w14:textId="77777777" w:rsidR="0065555D" w:rsidRPr="008C73FB" w:rsidRDefault="0065555D" w:rsidP="00FB3903">
      <w:pPr>
        <w:spacing w:line="240" w:lineRule="auto"/>
        <w:rPr>
          <w:rFonts w:eastAsia="Times New Roman" w:cs="Times New Roman"/>
        </w:rPr>
        <w:sectPr w:rsidR="0065555D" w:rsidRPr="008C73FB" w:rsidSect="00FB3903">
          <w:pgSz w:w="12240" w:h="15840"/>
          <w:pgMar w:top="1440" w:right="1440" w:bottom="1440" w:left="1440" w:header="720" w:footer="720" w:gutter="0"/>
          <w:cols w:space="720"/>
          <w:docGrid w:linePitch="360"/>
        </w:sectPr>
      </w:pPr>
    </w:p>
    <w:p w14:paraId="403AFE4B" w14:textId="77777777" w:rsidR="0065555D" w:rsidRPr="000F23A0" w:rsidRDefault="0065555D" w:rsidP="00FB3903">
      <w:pPr>
        <w:pStyle w:val="Caption"/>
        <w:spacing w:before="240" w:after="0"/>
        <w:rPr>
          <w:rFonts w:cs="Times New Roman"/>
          <w:szCs w:val="24"/>
        </w:rPr>
      </w:pPr>
      <w:bookmarkStart w:id="5" w:name="_Ref413080031"/>
      <w:r w:rsidRPr="000F23A0">
        <w:rPr>
          <w:rFonts w:cs="Times New Roman"/>
          <w:szCs w:val="24"/>
        </w:rPr>
        <w:t xml:space="preserve">Table </w:t>
      </w:r>
      <w:r>
        <w:rPr>
          <w:rFonts w:cs="Times New Roman"/>
          <w:noProof/>
          <w:szCs w:val="24"/>
        </w:rPr>
        <w:t>4</w:t>
      </w:r>
      <w:bookmarkEnd w:id="5"/>
      <w:r w:rsidRPr="000F23A0">
        <w:rPr>
          <w:rFonts w:cs="Times New Roman"/>
        </w:rPr>
        <w:t xml:space="preserve">: </w:t>
      </w:r>
      <w:r>
        <w:rPr>
          <w:rFonts w:cs="Times New Roman"/>
        </w:rPr>
        <w:t>Summary Statistics by Herfindahl-Hirschman Index Quantile</w:t>
      </w:r>
    </w:p>
    <w:p w14:paraId="323A5272" w14:textId="77777777" w:rsidR="0065555D" w:rsidRDefault="0065555D" w:rsidP="00FB3903">
      <w:pPr>
        <w:spacing w:line="240" w:lineRule="auto"/>
        <w:rPr>
          <w:rFonts w:cs="Times New Roman"/>
        </w:rPr>
      </w:pPr>
      <w:r w:rsidRPr="008C73FB">
        <w:rPr>
          <w:rFonts w:eastAsia="Times New Roman" w:cs="Times New Roman"/>
        </w:rPr>
        <w:t>Average values for mortgage, property, and tenant characteristics</w:t>
      </w:r>
      <w:r>
        <w:rPr>
          <w:rFonts w:eastAsia="Times New Roman" w:cs="Times New Roman"/>
        </w:rPr>
        <w:t xml:space="preserve"> are shown by quantile of the </w:t>
      </w:r>
      <w:r>
        <w:rPr>
          <w:rFonts w:cs="Times New Roman"/>
        </w:rPr>
        <w:t>Herfindahl-Hirschman Index (HHI)</w:t>
      </w:r>
      <w:r w:rsidRPr="008C73FB">
        <w:rPr>
          <w:rFonts w:eastAsia="Times New Roman" w:cs="Times New Roman"/>
        </w:rPr>
        <w:t xml:space="preserve">. </w:t>
      </w:r>
      <w:r>
        <w:rPr>
          <w:rFonts w:cs="Times New Roman"/>
        </w:rPr>
        <w:t>HHI is computed as follows:</w:t>
      </w:r>
    </w:p>
    <w:p w14:paraId="0279B908" w14:textId="77777777" w:rsidR="0065555D" w:rsidRPr="00EC23D5" w:rsidRDefault="0065555D" w:rsidP="00FB3903">
      <w:pPr>
        <w:spacing w:line="240" w:lineRule="auto"/>
      </w:pPr>
      <m:oMathPara>
        <m:oMathParaPr>
          <m:jc m:val="left"/>
        </m:oMathParaPr>
        <m:oMath>
          <m:r>
            <w:rPr>
              <w:rFonts w:ascii="Cambria Math" w:hAnsi="Cambria Math"/>
            </w:rPr>
            <m:t>HHI=</m:t>
          </m:r>
          <m:f>
            <m:fPr>
              <m:ctrlPr>
                <w:rPr>
                  <w:rFonts w:ascii="Cambria Math" w:hAnsi="Cambria Math"/>
                  <w:i/>
                </w:rPr>
              </m:ctrlPr>
            </m:fPr>
            <m:num>
              <m:sSup>
                <m:sSupPr>
                  <m:ctrlPr>
                    <w:rPr>
                      <w:rFonts w:ascii="Cambria Math" w:hAnsi="Cambria Math"/>
                      <w:i/>
                    </w:rPr>
                  </m:ctrlPr>
                </m:sSupPr>
                <m:e>
                  <m:r>
                    <w:rPr>
                      <w:rFonts w:ascii="Cambria Math" w:hAnsi="Cambria Math"/>
                    </w:rPr>
                    <m:t>L1%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L2%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L3%</m:t>
                  </m:r>
                </m:e>
                <m:sup>
                  <m:r>
                    <w:rPr>
                      <w:rFonts w:ascii="Cambria Math" w:hAnsi="Cambria Math"/>
                    </w:rPr>
                    <m:t>2</m:t>
                  </m:r>
                </m:sup>
              </m:sSup>
            </m:num>
            <m:den>
              <m:r>
                <w:rPr>
                  <w:rFonts w:ascii="Cambria Math" w:hAnsi="Cambria Math"/>
                </w:rPr>
                <m:t>10,000</m:t>
              </m:r>
            </m:den>
          </m:f>
          <m:r>
            <w:rPr>
              <w:rFonts w:ascii="Cambria Math" w:hAnsi="Cambria Math"/>
            </w:rPr>
            <m:t>×100</m:t>
          </m:r>
          <m:r>
            <m:rPr>
              <m:nor/>
            </m:rPr>
            <w:rPr>
              <w:rFonts w:cs="Times New Roman"/>
            </w:rPr>
            <m:t>,</m:t>
          </m:r>
        </m:oMath>
      </m:oMathPara>
    </w:p>
    <w:p w14:paraId="12BC24AD" w14:textId="77777777" w:rsidR="0065555D" w:rsidRPr="008C73FB" w:rsidRDefault="0065555D" w:rsidP="00FB3903">
      <w:pPr>
        <w:spacing w:line="240" w:lineRule="auto"/>
        <w:rPr>
          <w:rFonts w:eastAsia="Times New Roman" w:cs="Times New Roman"/>
        </w:rPr>
      </w:pPr>
      <w:r>
        <w:t>where L1% is the percent of square footage occupied by the largest tenant, L2% is the percent of square footage occupied by the 2</w:t>
      </w:r>
      <w:r w:rsidRPr="00EC23D5">
        <w:rPr>
          <w:vertAlign w:val="superscript"/>
        </w:rPr>
        <w:t>nd</w:t>
      </w:r>
      <w:r>
        <w:t xml:space="preserve"> largest tenant, and L3% is the percent of square footage occupied by the 3</w:t>
      </w:r>
      <w:r w:rsidRPr="00EC23D5">
        <w:rPr>
          <w:vertAlign w:val="superscript"/>
        </w:rPr>
        <w:t>rd</w:t>
      </w:r>
      <w:r>
        <w:t xml:space="preserve"> largest tenant. P</w:t>
      </w:r>
      <w:r w:rsidRPr="00B44CD8">
        <w:t>roperties are broken into 6 quantiles based on their HHI.</w:t>
      </w:r>
      <w:r>
        <w:t xml:space="preserve"> </w:t>
      </w:r>
      <w:r w:rsidRPr="004D0478">
        <w:t>The highest quantile consists of all properties with an HHI equal to 100. The remaining properties are divided into 5 equally sized HHI quantiles.</w:t>
      </w:r>
      <w:r>
        <w:t xml:space="preserve"> </w:t>
      </w:r>
    </w:p>
    <w:p w14:paraId="56D7C03D" w14:textId="77777777" w:rsidR="0065555D" w:rsidRDefault="0065555D" w:rsidP="00FB3903">
      <w:pPr>
        <w:spacing w:line="240" w:lineRule="auto"/>
      </w:pPr>
    </w:p>
    <w:tbl>
      <w:tblPr>
        <w:tblW w:w="0" w:type="auto"/>
        <w:jc w:val="center"/>
        <w:tblCellMar>
          <w:top w:w="72" w:type="dxa"/>
          <w:left w:w="115" w:type="dxa"/>
          <w:bottom w:w="72" w:type="dxa"/>
          <w:right w:w="115" w:type="dxa"/>
        </w:tblCellMar>
        <w:tblLook w:val="04A0" w:firstRow="1" w:lastRow="0" w:firstColumn="1" w:lastColumn="0" w:noHBand="0" w:noVBand="1"/>
      </w:tblPr>
      <w:tblGrid>
        <w:gridCol w:w="919"/>
        <w:gridCol w:w="780"/>
        <w:gridCol w:w="780"/>
        <w:gridCol w:w="830"/>
        <w:gridCol w:w="786"/>
        <w:gridCol w:w="780"/>
        <w:gridCol w:w="930"/>
        <w:gridCol w:w="1158"/>
        <w:gridCol w:w="1158"/>
        <w:gridCol w:w="619"/>
        <w:gridCol w:w="919"/>
        <w:gridCol w:w="803"/>
        <w:gridCol w:w="680"/>
        <w:gridCol w:w="919"/>
        <w:gridCol w:w="930"/>
      </w:tblGrid>
      <w:tr w:rsidR="0065555D" w:rsidRPr="005D584E" w14:paraId="38AA3A82" w14:textId="77777777" w:rsidTr="007049D5">
        <w:trPr>
          <w:trHeight w:val="773"/>
          <w:jc w:val="center"/>
        </w:trPr>
        <w:tc>
          <w:tcPr>
            <w:tcW w:w="0" w:type="auto"/>
            <w:tcBorders>
              <w:top w:val="single" w:sz="4" w:space="0" w:color="auto"/>
              <w:left w:val="nil"/>
              <w:bottom w:val="single" w:sz="4" w:space="0" w:color="auto"/>
              <w:right w:val="nil"/>
            </w:tcBorders>
            <w:shd w:val="clear" w:color="auto" w:fill="auto"/>
            <w:vAlign w:val="bottom"/>
            <w:hideMark/>
          </w:tcPr>
          <w:p w14:paraId="2DF6C844" w14:textId="77777777" w:rsidR="0065555D" w:rsidRPr="005D584E" w:rsidRDefault="0065555D" w:rsidP="00FB3903">
            <w:pPr>
              <w:spacing w:after="0" w:line="240" w:lineRule="auto"/>
              <w:jc w:val="center"/>
              <w:rPr>
                <w:rFonts w:eastAsia="Times New Roman" w:cs="Times New Roman"/>
                <w:sz w:val="20"/>
                <w:szCs w:val="20"/>
              </w:rPr>
            </w:pPr>
            <w:r w:rsidRPr="005D584E">
              <w:rPr>
                <w:rFonts w:eastAsia="Times New Roman" w:cs="Times New Roman"/>
                <w:sz w:val="20"/>
                <w:szCs w:val="20"/>
              </w:rPr>
              <w:t>HHI</w:t>
            </w:r>
          </w:p>
          <w:p w14:paraId="6F6DA5F4" w14:textId="77777777" w:rsidR="0065555D" w:rsidRPr="005D584E" w:rsidRDefault="0065555D" w:rsidP="00FB3903">
            <w:pPr>
              <w:spacing w:after="0" w:line="240" w:lineRule="auto"/>
              <w:jc w:val="center"/>
              <w:rPr>
                <w:rFonts w:eastAsia="Times New Roman" w:cs="Times New Roman"/>
                <w:sz w:val="20"/>
                <w:szCs w:val="20"/>
              </w:rPr>
            </w:pPr>
            <w:r w:rsidRPr="005D584E">
              <w:rPr>
                <w:rFonts w:eastAsia="Times New Roman" w:cs="Times New Roman"/>
                <w:sz w:val="20"/>
                <w:szCs w:val="20"/>
              </w:rPr>
              <w:t>Quantile</w:t>
            </w:r>
          </w:p>
        </w:tc>
        <w:tc>
          <w:tcPr>
            <w:tcW w:w="0" w:type="auto"/>
            <w:tcBorders>
              <w:top w:val="single" w:sz="4" w:space="0" w:color="auto"/>
              <w:left w:val="nil"/>
              <w:bottom w:val="single" w:sz="4" w:space="0" w:color="auto"/>
              <w:right w:val="nil"/>
            </w:tcBorders>
            <w:vAlign w:val="bottom"/>
          </w:tcPr>
          <w:p w14:paraId="5C8465E5" w14:textId="77777777" w:rsidR="0065555D" w:rsidRPr="005D584E" w:rsidRDefault="0065555D" w:rsidP="00FB3903">
            <w:pPr>
              <w:spacing w:after="0" w:line="240" w:lineRule="auto"/>
              <w:jc w:val="center"/>
              <w:rPr>
                <w:rFonts w:eastAsia="Times New Roman" w:cs="Times New Roman"/>
                <w:sz w:val="20"/>
                <w:szCs w:val="20"/>
              </w:rPr>
            </w:pPr>
            <w:r w:rsidRPr="005D584E">
              <w:rPr>
                <w:rFonts w:eastAsia="Times New Roman" w:cs="Times New Roman"/>
                <w:sz w:val="20"/>
                <w:szCs w:val="20"/>
              </w:rPr>
              <w:t>HHI</w:t>
            </w:r>
          </w:p>
        </w:tc>
        <w:tc>
          <w:tcPr>
            <w:tcW w:w="0" w:type="auto"/>
            <w:tcBorders>
              <w:top w:val="single" w:sz="4" w:space="0" w:color="auto"/>
              <w:left w:val="nil"/>
              <w:bottom w:val="single" w:sz="4" w:space="0" w:color="auto"/>
              <w:right w:val="nil"/>
            </w:tcBorders>
            <w:shd w:val="clear" w:color="auto" w:fill="auto"/>
            <w:noWrap/>
            <w:vAlign w:val="bottom"/>
            <w:hideMark/>
          </w:tcPr>
          <w:p w14:paraId="5E45DD87" w14:textId="77777777" w:rsidR="0065555D" w:rsidRPr="005D584E" w:rsidRDefault="0065555D" w:rsidP="00FB3903">
            <w:pPr>
              <w:spacing w:after="0" w:line="240" w:lineRule="auto"/>
              <w:jc w:val="center"/>
              <w:rPr>
                <w:rFonts w:eastAsia="Times New Roman" w:cs="Times New Roman"/>
                <w:sz w:val="20"/>
                <w:szCs w:val="20"/>
              </w:rPr>
            </w:pPr>
            <w:r w:rsidRPr="005D584E">
              <w:rPr>
                <w:rFonts w:eastAsia="Times New Roman" w:cs="Times New Roman"/>
                <w:sz w:val="20"/>
                <w:szCs w:val="20"/>
              </w:rPr>
              <w:t>N</w:t>
            </w:r>
          </w:p>
        </w:tc>
        <w:tc>
          <w:tcPr>
            <w:tcW w:w="0" w:type="auto"/>
            <w:tcBorders>
              <w:top w:val="single" w:sz="4" w:space="0" w:color="auto"/>
              <w:left w:val="nil"/>
              <w:bottom w:val="single" w:sz="4" w:space="0" w:color="auto"/>
              <w:right w:val="nil"/>
            </w:tcBorders>
            <w:shd w:val="clear" w:color="auto" w:fill="auto"/>
            <w:noWrap/>
            <w:vAlign w:val="bottom"/>
            <w:hideMark/>
          </w:tcPr>
          <w:p w14:paraId="39506DFE" w14:textId="77777777" w:rsidR="0065555D" w:rsidRPr="005D584E" w:rsidRDefault="0065555D" w:rsidP="00FB3903">
            <w:pPr>
              <w:spacing w:after="0" w:line="240" w:lineRule="auto"/>
              <w:jc w:val="center"/>
              <w:rPr>
                <w:rFonts w:eastAsia="Times New Roman" w:cs="Times New Roman"/>
                <w:sz w:val="20"/>
                <w:szCs w:val="20"/>
              </w:rPr>
            </w:pPr>
            <w:r w:rsidRPr="005D584E">
              <w:rPr>
                <w:rFonts w:eastAsia="Times New Roman" w:cs="Times New Roman"/>
                <w:sz w:val="20"/>
                <w:szCs w:val="20"/>
              </w:rPr>
              <w:t>%</w:t>
            </w:r>
          </w:p>
          <w:p w14:paraId="5D987CF8" w14:textId="77777777" w:rsidR="0065555D" w:rsidRPr="005D584E" w:rsidRDefault="0065555D" w:rsidP="00FB3903">
            <w:pPr>
              <w:spacing w:after="0" w:line="240" w:lineRule="auto"/>
              <w:jc w:val="center"/>
              <w:rPr>
                <w:rFonts w:eastAsia="Times New Roman" w:cs="Times New Roman"/>
                <w:sz w:val="20"/>
                <w:szCs w:val="20"/>
              </w:rPr>
            </w:pPr>
            <w:r w:rsidRPr="005D584E">
              <w:rPr>
                <w:rFonts w:eastAsia="Times New Roman" w:cs="Times New Roman"/>
                <w:sz w:val="20"/>
                <w:szCs w:val="20"/>
              </w:rPr>
              <w:t>Sample</w:t>
            </w:r>
          </w:p>
        </w:tc>
        <w:tc>
          <w:tcPr>
            <w:tcW w:w="0" w:type="auto"/>
            <w:tcBorders>
              <w:top w:val="single" w:sz="4" w:space="0" w:color="auto"/>
              <w:left w:val="nil"/>
              <w:bottom w:val="single" w:sz="4" w:space="0" w:color="auto"/>
              <w:right w:val="nil"/>
            </w:tcBorders>
            <w:shd w:val="clear" w:color="auto" w:fill="auto"/>
            <w:noWrap/>
            <w:vAlign w:val="bottom"/>
            <w:hideMark/>
          </w:tcPr>
          <w:p w14:paraId="3DFF0BD0" w14:textId="77777777" w:rsidR="0065555D" w:rsidRPr="005D584E" w:rsidRDefault="0065555D" w:rsidP="00FB3903">
            <w:pPr>
              <w:spacing w:after="0" w:line="240" w:lineRule="auto"/>
              <w:jc w:val="center"/>
              <w:rPr>
                <w:rFonts w:eastAsia="Times New Roman" w:cs="Times New Roman"/>
                <w:color w:val="000000"/>
                <w:sz w:val="20"/>
                <w:szCs w:val="20"/>
              </w:rPr>
            </w:pPr>
            <w:r w:rsidRPr="005D584E">
              <w:rPr>
                <w:rFonts w:eastAsia="Times New Roman" w:cs="Times New Roman"/>
                <w:color w:val="000000"/>
                <w:sz w:val="20"/>
                <w:szCs w:val="20"/>
              </w:rPr>
              <w:t>Spread</w:t>
            </w:r>
          </w:p>
          <w:p w14:paraId="7C74FC9B" w14:textId="77777777" w:rsidR="0065555D" w:rsidRPr="005D584E" w:rsidRDefault="0065555D" w:rsidP="00FB3903">
            <w:pPr>
              <w:spacing w:after="0" w:line="240" w:lineRule="auto"/>
              <w:jc w:val="center"/>
              <w:rPr>
                <w:rFonts w:eastAsia="Times New Roman" w:cs="Times New Roman"/>
                <w:color w:val="000000"/>
                <w:sz w:val="20"/>
                <w:szCs w:val="20"/>
              </w:rPr>
            </w:pPr>
            <w:r w:rsidRPr="005D584E">
              <w:rPr>
                <w:rFonts w:eastAsia="Times New Roman" w:cs="Times New Roman"/>
                <w:color w:val="000000"/>
                <w:sz w:val="20"/>
                <w:szCs w:val="20"/>
              </w:rPr>
              <w:t>(%)</w:t>
            </w:r>
          </w:p>
        </w:tc>
        <w:tc>
          <w:tcPr>
            <w:tcW w:w="0" w:type="auto"/>
            <w:tcBorders>
              <w:top w:val="single" w:sz="4" w:space="0" w:color="auto"/>
              <w:left w:val="nil"/>
              <w:bottom w:val="single" w:sz="4" w:space="0" w:color="auto"/>
              <w:right w:val="nil"/>
            </w:tcBorders>
            <w:vAlign w:val="bottom"/>
          </w:tcPr>
          <w:p w14:paraId="2F0BC28B" w14:textId="77777777" w:rsidR="0065555D" w:rsidRPr="005D584E" w:rsidRDefault="0065555D" w:rsidP="00FB3903">
            <w:pPr>
              <w:spacing w:after="0" w:line="240" w:lineRule="auto"/>
              <w:jc w:val="center"/>
              <w:rPr>
                <w:rFonts w:eastAsia="Times New Roman" w:cs="Times New Roman"/>
                <w:color w:val="000000"/>
                <w:sz w:val="20"/>
                <w:szCs w:val="20"/>
              </w:rPr>
            </w:pPr>
            <w:r w:rsidRPr="005D584E">
              <w:rPr>
                <w:rFonts w:eastAsia="Times New Roman" w:cs="Times New Roman"/>
                <w:color w:val="000000"/>
                <w:sz w:val="20"/>
                <w:szCs w:val="20"/>
              </w:rPr>
              <w:t>L1%</w:t>
            </w:r>
          </w:p>
        </w:tc>
        <w:tc>
          <w:tcPr>
            <w:tcW w:w="0" w:type="auto"/>
            <w:tcBorders>
              <w:top w:val="single" w:sz="4" w:space="0" w:color="auto"/>
              <w:left w:val="nil"/>
              <w:bottom w:val="single" w:sz="4" w:space="0" w:color="auto"/>
              <w:right w:val="nil"/>
            </w:tcBorders>
            <w:vAlign w:val="bottom"/>
          </w:tcPr>
          <w:p w14:paraId="71330843" w14:textId="77777777" w:rsidR="0065555D" w:rsidRPr="005D584E" w:rsidRDefault="0065555D" w:rsidP="00FB3903">
            <w:pPr>
              <w:spacing w:after="0" w:line="240" w:lineRule="auto"/>
              <w:jc w:val="center"/>
              <w:rPr>
                <w:rFonts w:eastAsia="Times New Roman" w:cs="Times New Roman"/>
                <w:color w:val="000000"/>
                <w:sz w:val="20"/>
                <w:szCs w:val="20"/>
              </w:rPr>
            </w:pPr>
            <w:r w:rsidRPr="005D584E">
              <w:rPr>
                <w:rFonts w:eastAsia="Times New Roman" w:cs="Times New Roman"/>
                <w:color w:val="000000"/>
                <w:sz w:val="20"/>
                <w:szCs w:val="20"/>
              </w:rPr>
              <w:t>Fraction</w:t>
            </w:r>
          </w:p>
          <w:p w14:paraId="4DD0F444" w14:textId="77777777" w:rsidR="0065555D" w:rsidRPr="005D584E" w:rsidRDefault="0065555D" w:rsidP="00FB3903">
            <w:pPr>
              <w:spacing w:after="0" w:line="240" w:lineRule="auto"/>
              <w:jc w:val="center"/>
              <w:rPr>
                <w:rFonts w:eastAsia="Times New Roman" w:cs="Times New Roman"/>
                <w:color w:val="000000"/>
                <w:sz w:val="20"/>
                <w:szCs w:val="20"/>
              </w:rPr>
            </w:pPr>
            <w:r w:rsidRPr="005D584E">
              <w:rPr>
                <w:rFonts w:eastAsia="Times New Roman" w:cs="Times New Roman"/>
                <w:color w:val="000000"/>
                <w:sz w:val="20"/>
                <w:szCs w:val="20"/>
              </w:rPr>
              <w:t>L1</w:t>
            </w:r>
          </w:p>
          <w:p w14:paraId="6437AD57" w14:textId="77777777" w:rsidR="0065555D" w:rsidRPr="005D584E" w:rsidRDefault="0065555D" w:rsidP="00FB3903">
            <w:pPr>
              <w:spacing w:after="0" w:line="240" w:lineRule="auto"/>
              <w:jc w:val="center"/>
              <w:rPr>
                <w:rFonts w:eastAsia="Times New Roman" w:cs="Times New Roman"/>
                <w:color w:val="000000"/>
                <w:sz w:val="20"/>
                <w:szCs w:val="20"/>
              </w:rPr>
            </w:pPr>
            <w:r w:rsidRPr="005D584E">
              <w:rPr>
                <w:rFonts w:eastAsia="Times New Roman" w:cs="Times New Roman"/>
                <w:color w:val="000000"/>
                <w:sz w:val="20"/>
                <w:szCs w:val="20"/>
              </w:rPr>
              <w:t>Rollover</w:t>
            </w:r>
          </w:p>
        </w:tc>
        <w:tc>
          <w:tcPr>
            <w:tcW w:w="0" w:type="auto"/>
            <w:tcBorders>
              <w:top w:val="single" w:sz="4" w:space="0" w:color="auto"/>
              <w:left w:val="nil"/>
              <w:bottom w:val="single" w:sz="4" w:space="0" w:color="auto"/>
              <w:right w:val="nil"/>
            </w:tcBorders>
            <w:shd w:val="clear" w:color="auto" w:fill="auto"/>
            <w:noWrap/>
            <w:vAlign w:val="bottom"/>
            <w:hideMark/>
          </w:tcPr>
          <w:p w14:paraId="4701DE3D" w14:textId="77777777" w:rsidR="0065555D" w:rsidRPr="005D584E" w:rsidRDefault="0065555D" w:rsidP="00FB3903">
            <w:pPr>
              <w:spacing w:after="0" w:line="240" w:lineRule="auto"/>
              <w:jc w:val="center"/>
              <w:rPr>
                <w:rFonts w:eastAsia="Times New Roman" w:cs="Times New Roman"/>
                <w:color w:val="000000"/>
                <w:sz w:val="20"/>
                <w:szCs w:val="20"/>
              </w:rPr>
            </w:pPr>
            <w:r w:rsidRPr="005D584E">
              <w:rPr>
                <w:rFonts w:eastAsia="Times New Roman" w:cs="Times New Roman"/>
                <w:color w:val="000000"/>
                <w:sz w:val="20"/>
                <w:szCs w:val="20"/>
              </w:rPr>
              <w:t>Nominal</w:t>
            </w:r>
          </w:p>
          <w:p w14:paraId="2DB798C3" w14:textId="77777777" w:rsidR="0065555D" w:rsidRPr="005D584E" w:rsidRDefault="0065555D" w:rsidP="00FB3903">
            <w:pPr>
              <w:spacing w:after="0" w:line="240" w:lineRule="auto"/>
              <w:jc w:val="center"/>
              <w:rPr>
                <w:rFonts w:eastAsia="Times New Roman" w:cs="Times New Roman"/>
                <w:color w:val="000000"/>
                <w:sz w:val="20"/>
                <w:szCs w:val="20"/>
              </w:rPr>
            </w:pPr>
            <w:r w:rsidRPr="005D584E">
              <w:rPr>
                <w:rFonts w:eastAsia="Times New Roman" w:cs="Times New Roman"/>
                <w:color w:val="000000"/>
                <w:sz w:val="20"/>
                <w:szCs w:val="20"/>
              </w:rPr>
              <w:t>Property</w:t>
            </w:r>
          </w:p>
          <w:p w14:paraId="776C3911" w14:textId="77777777" w:rsidR="0065555D" w:rsidRPr="005D584E" w:rsidRDefault="0065555D" w:rsidP="00FB3903">
            <w:pPr>
              <w:spacing w:after="0" w:line="240" w:lineRule="auto"/>
              <w:jc w:val="center"/>
              <w:rPr>
                <w:rFonts w:eastAsia="Times New Roman" w:cs="Times New Roman"/>
                <w:color w:val="000000"/>
                <w:sz w:val="20"/>
                <w:szCs w:val="20"/>
              </w:rPr>
            </w:pPr>
            <w:r w:rsidRPr="005D584E">
              <w:rPr>
                <w:rFonts w:eastAsia="Times New Roman" w:cs="Times New Roman"/>
                <w:color w:val="000000"/>
                <w:sz w:val="20"/>
                <w:szCs w:val="20"/>
              </w:rPr>
              <w:t>Value (mil)</w:t>
            </w:r>
          </w:p>
        </w:tc>
        <w:tc>
          <w:tcPr>
            <w:tcW w:w="0" w:type="auto"/>
            <w:tcBorders>
              <w:top w:val="single" w:sz="4" w:space="0" w:color="auto"/>
              <w:left w:val="nil"/>
              <w:bottom w:val="single" w:sz="4" w:space="0" w:color="auto"/>
              <w:right w:val="nil"/>
            </w:tcBorders>
            <w:vAlign w:val="bottom"/>
          </w:tcPr>
          <w:p w14:paraId="0DD64547" w14:textId="77777777" w:rsidR="0065555D" w:rsidRPr="005D584E" w:rsidRDefault="0065555D" w:rsidP="00FB3903">
            <w:pPr>
              <w:spacing w:after="0" w:line="240" w:lineRule="auto"/>
              <w:jc w:val="center"/>
              <w:rPr>
                <w:rFonts w:eastAsia="Times New Roman" w:cs="Times New Roman"/>
                <w:color w:val="000000"/>
                <w:sz w:val="20"/>
                <w:szCs w:val="20"/>
              </w:rPr>
            </w:pPr>
            <w:r w:rsidRPr="005D584E">
              <w:rPr>
                <w:rFonts w:eastAsia="Times New Roman" w:cs="Times New Roman"/>
                <w:color w:val="000000"/>
                <w:sz w:val="20"/>
                <w:szCs w:val="20"/>
              </w:rPr>
              <w:t>Real</w:t>
            </w:r>
          </w:p>
          <w:p w14:paraId="702C7142" w14:textId="77777777" w:rsidR="0065555D" w:rsidRPr="005D584E" w:rsidRDefault="0065555D" w:rsidP="00FB3903">
            <w:pPr>
              <w:spacing w:after="0" w:line="240" w:lineRule="auto"/>
              <w:jc w:val="center"/>
              <w:rPr>
                <w:rFonts w:eastAsia="Times New Roman" w:cs="Times New Roman"/>
                <w:color w:val="000000"/>
                <w:sz w:val="20"/>
                <w:szCs w:val="20"/>
              </w:rPr>
            </w:pPr>
            <w:r w:rsidRPr="005D584E">
              <w:rPr>
                <w:rFonts w:eastAsia="Times New Roman" w:cs="Times New Roman"/>
                <w:color w:val="000000"/>
                <w:sz w:val="20"/>
                <w:szCs w:val="20"/>
              </w:rPr>
              <w:t>Property</w:t>
            </w:r>
          </w:p>
          <w:p w14:paraId="7401E137" w14:textId="77777777" w:rsidR="0065555D" w:rsidRPr="005D584E" w:rsidRDefault="0065555D" w:rsidP="00FB3903">
            <w:pPr>
              <w:spacing w:after="0" w:line="240" w:lineRule="auto"/>
              <w:jc w:val="center"/>
              <w:rPr>
                <w:rFonts w:eastAsia="Times New Roman" w:cs="Times New Roman"/>
                <w:color w:val="000000"/>
                <w:sz w:val="20"/>
                <w:szCs w:val="20"/>
              </w:rPr>
            </w:pPr>
            <w:r w:rsidRPr="005D584E">
              <w:rPr>
                <w:rFonts w:eastAsia="Times New Roman" w:cs="Times New Roman"/>
                <w:color w:val="000000"/>
                <w:sz w:val="20"/>
                <w:szCs w:val="20"/>
              </w:rPr>
              <w:t>Value (mil)</w:t>
            </w:r>
          </w:p>
        </w:tc>
        <w:tc>
          <w:tcPr>
            <w:tcW w:w="0" w:type="auto"/>
            <w:tcBorders>
              <w:top w:val="single" w:sz="4" w:space="0" w:color="auto"/>
              <w:left w:val="nil"/>
              <w:bottom w:val="single" w:sz="4" w:space="0" w:color="auto"/>
              <w:right w:val="nil"/>
            </w:tcBorders>
            <w:shd w:val="clear" w:color="auto" w:fill="auto"/>
            <w:noWrap/>
            <w:vAlign w:val="bottom"/>
            <w:hideMark/>
          </w:tcPr>
          <w:p w14:paraId="0729FF15" w14:textId="77777777" w:rsidR="0065555D" w:rsidRPr="005D584E" w:rsidRDefault="0065555D" w:rsidP="00FB3903">
            <w:pPr>
              <w:spacing w:after="0" w:line="240" w:lineRule="auto"/>
              <w:jc w:val="center"/>
              <w:rPr>
                <w:rFonts w:eastAsia="Times New Roman" w:cs="Times New Roman"/>
                <w:color w:val="000000"/>
                <w:sz w:val="20"/>
                <w:szCs w:val="20"/>
              </w:rPr>
            </w:pPr>
            <w:r w:rsidRPr="005D584E">
              <w:rPr>
                <w:rFonts w:eastAsia="Times New Roman" w:cs="Times New Roman"/>
                <w:color w:val="000000"/>
                <w:sz w:val="20"/>
                <w:szCs w:val="20"/>
              </w:rPr>
              <w:t>LTV</w:t>
            </w:r>
          </w:p>
        </w:tc>
        <w:tc>
          <w:tcPr>
            <w:tcW w:w="0" w:type="auto"/>
            <w:tcBorders>
              <w:top w:val="single" w:sz="4" w:space="0" w:color="auto"/>
              <w:left w:val="nil"/>
              <w:bottom w:val="single" w:sz="4" w:space="0" w:color="auto"/>
              <w:right w:val="nil"/>
            </w:tcBorders>
            <w:shd w:val="clear" w:color="auto" w:fill="auto"/>
            <w:noWrap/>
            <w:vAlign w:val="bottom"/>
            <w:hideMark/>
          </w:tcPr>
          <w:p w14:paraId="712B8518" w14:textId="77777777" w:rsidR="0065555D" w:rsidRPr="005D584E" w:rsidRDefault="0065555D" w:rsidP="00FB3903">
            <w:pPr>
              <w:spacing w:after="0" w:line="240" w:lineRule="auto"/>
              <w:jc w:val="center"/>
              <w:rPr>
                <w:rFonts w:eastAsia="Times New Roman" w:cs="Times New Roman"/>
                <w:color w:val="000000"/>
                <w:sz w:val="20"/>
                <w:szCs w:val="20"/>
              </w:rPr>
            </w:pPr>
            <w:r w:rsidRPr="005D584E">
              <w:rPr>
                <w:rFonts w:eastAsia="Times New Roman" w:cs="Times New Roman"/>
                <w:color w:val="000000"/>
                <w:sz w:val="20"/>
                <w:szCs w:val="20"/>
              </w:rPr>
              <w:t>NOI/</w:t>
            </w:r>
          </w:p>
          <w:p w14:paraId="2D9DD9F6" w14:textId="77777777" w:rsidR="0065555D" w:rsidRPr="005D584E" w:rsidRDefault="0065555D" w:rsidP="00FB3903">
            <w:pPr>
              <w:spacing w:after="0" w:line="240" w:lineRule="auto"/>
              <w:jc w:val="center"/>
              <w:rPr>
                <w:rFonts w:eastAsia="Times New Roman" w:cs="Times New Roman"/>
                <w:color w:val="000000"/>
                <w:sz w:val="20"/>
                <w:szCs w:val="20"/>
              </w:rPr>
            </w:pPr>
            <w:r w:rsidRPr="005D584E">
              <w:rPr>
                <w:rFonts w:eastAsia="Times New Roman" w:cs="Times New Roman"/>
                <w:color w:val="000000"/>
                <w:sz w:val="20"/>
                <w:szCs w:val="20"/>
              </w:rPr>
              <w:t>Property</w:t>
            </w:r>
          </w:p>
          <w:p w14:paraId="1BBF901B" w14:textId="77777777" w:rsidR="0065555D" w:rsidRPr="005D584E" w:rsidRDefault="0065555D" w:rsidP="00FB3903">
            <w:pPr>
              <w:spacing w:after="0" w:line="240" w:lineRule="auto"/>
              <w:jc w:val="center"/>
              <w:rPr>
                <w:rFonts w:eastAsia="Times New Roman" w:cs="Times New Roman"/>
                <w:color w:val="000000"/>
                <w:sz w:val="20"/>
                <w:szCs w:val="20"/>
              </w:rPr>
            </w:pPr>
            <w:r w:rsidRPr="005D584E">
              <w:rPr>
                <w:rFonts w:eastAsia="Times New Roman" w:cs="Times New Roman"/>
                <w:color w:val="000000"/>
                <w:sz w:val="20"/>
                <w:szCs w:val="20"/>
              </w:rPr>
              <w:t>Value</w:t>
            </w:r>
          </w:p>
        </w:tc>
        <w:tc>
          <w:tcPr>
            <w:tcW w:w="0" w:type="auto"/>
            <w:tcBorders>
              <w:top w:val="single" w:sz="4" w:space="0" w:color="auto"/>
              <w:left w:val="nil"/>
              <w:bottom w:val="single" w:sz="4" w:space="0" w:color="auto"/>
              <w:right w:val="nil"/>
            </w:tcBorders>
            <w:shd w:val="clear" w:color="auto" w:fill="auto"/>
            <w:noWrap/>
            <w:vAlign w:val="bottom"/>
            <w:hideMark/>
          </w:tcPr>
          <w:p w14:paraId="1F081834" w14:textId="77777777" w:rsidR="0065555D" w:rsidRPr="005D584E" w:rsidRDefault="0065555D" w:rsidP="00FB3903">
            <w:pPr>
              <w:spacing w:after="0" w:line="240" w:lineRule="auto"/>
              <w:jc w:val="center"/>
              <w:rPr>
                <w:rFonts w:eastAsia="Times New Roman" w:cs="Times New Roman"/>
                <w:color w:val="000000"/>
                <w:sz w:val="20"/>
                <w:szCs w:val="20"/>
              </w:rPr>
            </w:pPr>
            <w:proofErr w:type="spellStart"/>
            <w:r w:rsidRPr="005D584E">
              <w:rPr>
                <w:rFonts w:eastAsia="Times New Roman" w:cs="Times New Roman"/>
                <w:color w:val="000000"/>
                <w:sz w:val="20"/>
                <w:szCs w:val="20"/>
              </w:rPr>
              <w:t>Amort</w:t>
            </w:r>
            <w:proofErr w:type="spellEnd"/>
            <w:r w:rsidRPr="005D584E">
              <w:rPr>
                <w:rFonts w:eastAsia="Times New Roman" w:cs="Times New Roman"/>
                <w:color w:val="000000"/>
                <w:sz w:val="20"/>
                <w:szCs w:val="20"/>
              </w:rPr>
              <w:t>.</w:t>
            </w:r>
          </w:p>
          <w:p w14:paraId="149545CE" w14:textId="77777777" w:rsidR="0065555D" w:rsidRPr="005D584E" w:rsidRDefault="0065555D" w:rsidP="00FB3903">
            <w:pPr>
              <w:spacing w:after="0" w:line="240" w:lineRule="auto"/>
              <w:jc w:val="center"/>
              <w:rPr>
                <w:rFonts w:eastAsia="Times New Roman" w:cs="Times New Roman"/>
                <w:color w:val="000000"/>
                <w:sz w:val="20"/>
                <w:szCs w:val="20"/>
              </w:rPr>
            </w:pPr>
            <w:r w:rsidRPr="005D584E">
              <w:rPr>
                <w:rFonts w:eastAsia="Times New Roman" w:cs="Times New Roman"/>
                <w:color w:val="000000"/>
                <w:sz w:val="20"/>
                <w:szCs w:val="20"/>
              </w:rPr>
              <w:t>Rate</w:t>
            </w:r>
          </w:p>
        </w:tc>
        <w:tc>
          <w:tcPr>
            <w:tcW w:w="0" w:type="auto"/>
            <w:tcBorders>
              <w:top w:val="single" w:sz="4" w:space="0" w:color="auto"/>
              <w:left w:val="nil"/>
              <w:bottom w:val="single" w:sz="4" w:space="0" w:color="auto"/>
              <w:right w:val="nil"/>
            </w:tcBorders>
            <w:shd w:val="clear" w:color="auto" w:fill="auto"/>
            <w:noWrap/>
            <w:vAlign w:val="bottom"/>
            <w:hideMark/>
          </w:tcPr>
          <w:p w14:paraId="3DA3AB2E" w14:textId="77777777" w:rsidR="0065555D" w:rsidRPr="005D584E" w:rsidRDefault="0065555D" w:rsidP="00FB3903">
            <w:pPr>
              <w:spacing w:after="0" w:line="240" w:lineRule="auto"/>
              <w:jc w:val="center"/>
              <w:rPr>
                <w:rFonts w:eastAsia="Times New Roman" w:cs="Times New Roman"/>
                <w:color w:val="000000"/>
                <w:sz w:val="20"/>
                <w:szCs w:val="20"/>
              </w:rPr>
            </w:pPr>
            <w:r w:rsidRPr="005D584E">
              <w:rPr>
                <w:rFonts w:eastAsia="Times New Roman" w:cs="Times New Roman"/>
                <w:color w:val="000000"/>
                <w:sz w:val="20"/>
                <w:szCs w:val="20"/>
              </w:rPr>
              <w:t>Occ.</w:t>
            </w:r>
          </w:p>
          <w:p w14:paraId="4AEAD828" w14:textId="77777777" w:rsidR="0065555D" w:rsidRDefault="0065555D" w:rsidP="00FB3903">
            <w:pPr>
              <w:spacing w:after="0" w:line="240" w:lineRule="auto"/>
              <w:jc w:val="center"/>
              <w:rPr>
                <w:rFonts w:eastAsia="Times New Roman" w:cs="Times New Roman"/>
                <w:color w:val="000000"/>
                <w:sz w:val="20"/>
                <w:szCs w:val="20"/>
              </w:rPr>
            </w:pPr>
            <w:r>
              <w:rPr>
                <w:rFonts w:eastAsia="Times New Roman" w:cs="Times New Roman"/>
                <w:color w:val="000000"/>
                <w:sz w:val="20"/>
                <w:szCs w:val="20"/>
              </w:rPr>
              <w:t>Rate</w:t>
            </w:r>
          </w:p>
          <w:p w14:paraId="2E734535" w14:textId="77777777" w:rsidR="0065555D" w:rsidRPr="005D584E" w:rsidRDefault="0065555D" w:rsidP="00FB3903">
            <w:pPr>
              <w:spacing w:after="0" w:line="240" w:lineRule="auto"/>
              <w:jc w:val="center"/>
              <w:rPr>
                <w:rFonts w:eastAsia="Times New Roman" w:cs="Times New Roman"/>
                <w:color w:val="000000"/>
                <w:sz w:val="20"/>
                <w:szCs w:val="20"/>
              </w:rPr>
            </w:pPr>
            <w:r w:rsidRPr="005D584E">
              <w:rPr>
                <w:rFonts w:eastAsia="Times New Roman" w:cs="Times New Roman"/>
                <w:color w:val="000000"/>
                <w:sz w:val="20"/>
                <w:szCs w:val="20"/>
              </w:rPr>
              <w:t>(%)</w:t>
            </w:r>
          </w:p>
        </w:tc>
        <w:tc>
          <w:tcPr>
            <w:tcW w:w="0" w:type="auto"/>
            <w:tcBorders>
              <w:top w:val="single" w:sz="4" w:space="0" w:color="auto"/>
              <w:left w:val="nil"/>
              <w:bottom w:val="single" w:sz="4" w:space="0" w:color="auto"/>
              <w:right w:val="nil"/>
            </w:tcBorders>
            <w:shd w:val="clear" w:color="auto" w:fill="auto"/>
            <w:noWrap/>
            <w:vAlign w:val="bottom"/>
            <w:hideMark/>
          </w:tcPr>
          <w:p w14:paraId="1732D175" w14:textId="77777777" w:rsidR="0065555D" w:rsidRPr="005D584E" w:rsidRDefault="0065555D" w:rsidP="00FB3903">
            <w:pPr>
              <w:spacing w:after="0" w:line="240" w:lineRule="auto"/>
              <w:jc w:val="center"/>
              <w:rPr>
                <w:rFonts w:eastAsia="Times New Roman" w:cs="Times New Roman"/>
                <w:color w:val="000000"/>
                <w:sz w:val="20"/>
                <w:szCs w:val="20"/>
              </w:rPr>
            </w:pPr>
            <w:r w:rsidRPr="005D584E">
              <w:rPr>
                <w:rFonts w:eastAsia="Times New Roman" w:cs="Times New Roman"/>
                <w:color w:val="000000"/>
                <w:sz w:val="20"/>
                <w:szCs w:val="20"/>
              </w:rPr>
              <w:t>Property</w:t>
            </w:r>
          </w:p>
          <w:p w14:paraId="139A28C2" w14:textId="77777777" w:rsidR="0065555D" w:rsidRPr="005D584E" w:rsidRDefault="0065555D" w:rsidP="00FB3903">
            <w:pPr>
              <w:spacing w:after="0" w:line="240" w:lineRule="auto"/>
              <w:jc w:val="center"/>
              <w:rPr>
                <w:rFonts w:eastAsia="Times New Roman" w:cs="Times New Roman"/>
                <w:color w:val="000000"/>
                <w:sz w:val="20"/>
                <w:szCs w:val="20"/>
              </w:rPr>
            </w:pPr>
            <w:r w:rsidRPr="005D584E">
              <w:rPr>
                <w:rFonts w:eastAsia="Times New Roman" w:cs="Times New Roman"/>
                <w:color w:val="000000"/>
                <w:sz w:val="20"/>
                <w:szCs w:val="20"/>
              </w:rPr>
              <w:t>Age</w:t>
            </w:r>
          </w:p>
        </w:tc>
        <w:tc>
          <w:tcPr>
            <w:tcW w:w="0" w:type="auto"/>
            <w:tcBorders>
              <w:top w:val="single" w:sz="4" w:space="0" w:color="auto"/>
              <w:left w:val="nil"/>
              <w:bottom w:val="single" w:sz="4" w:space="0" w:color="auto"/>
              <w:right w:val="nil"/>
            </w:tcBorders>
            <w:shd w:val="clear" w:color="auto" w:fill="auto"/>
            <w:noWrap/>
            <w:vAlign w:val="bottom"/>
            <w:hideMark/>
          </w:tcPr>
          <w:p w14:paraId="1C1A573F" w14:textId="77777777" w:rsidR="0065555D" w:rsidRPr="005D584E" w:rsidRDefault="0065555D" w:rsidP="00FB3903">
            <w:pPr>
              <w:spacing w:after="0" w:line="240" w:lineRule="auto"/>
              <w:jc w:val="center"/>
              <w:rPr>
                <w:rFonts w:eastAsia="Times New Roman" w:cs="Times New Roman"/>
                <w:color w:val="000000"/>
                <w:sz w:val="20"/>
                <w:szCs w:val="20"/>
              </w:rPr>
            </w:pPr>
            <w:r w:rsidRPr="005D584E">
              <w:rPr>
                <w:rFonts w:eastAsia="Times New Roman" w:cs="Times New Roman"/>
                <w:color w:val="000000"/>
                <w:sz w:val="20"/>
                <w:szCs w:val="20"/>
              </w:rPr>
              <w:t>Years to</w:t>
            </w:r>
          </w:p>
          <w:p w14:paraId="3991CB47" w14:textId="77777777" w:rsidR="0065555D" w:rsidRPr="005D584E" w:rsidRDefault="0065555D" w:rsidP="00FB3903">
            <w:pPr>
              <w:spacing w:after="0" w:line="240" w:lineRule="auto"/>
              <w:jc w:val="center"/>
              <w:rPr>
                <w:rFonts w:eastAsia="Times New Roman" w:cs="Times New Roman"/>
                <w:color w:val="000000"/>
                <w:sz w:val="20"/>
                <w:szCs w:val="20"/>
              </w:rPr>
            </w:pPr>
            <w:r w:rsidRPr="005D584E">
              <w:rPr>
                <w:rFonts w:eastAsia="Times New Roman" w:cs="Times New Roman"/>
                <w:color w:val="000000"/>
                <w:sz w:val="20"/>
                <w:szCs w:val="20"/>
              </w:rPr>
              <w:t>Loan</w:t>
            </w:r>
          </w:p>
          <w:p w14:paraId="29302FE5" w14:textId="77777777" w:rsidR="0065555D" w:rsidRPr="005D584E" w:rsidRDefault="0065555D" w:rsidP="00FB3903">
            <w:pPr>
              <w:spacing w:after="0" w:line="240" w:lineRule="auto"/>
              <w:jc w:val="center"/>
              <w:rPr>
                <w:rFonts w:eastAsia="Times New Roman" w:cs="Times New Roman"/>
                <w:color w:val="000000"/>
                <w:sz w:val="20"/>
                <w:szCs w:val="20"/>
              </w:rPr>
            </w:pPr>
            <w:r w:rsidRPr="005D584E">
              <w:rPr>
                <w:rFonts w:eastAsia="Times New Roman" w:cs="Times New Roman"/>
                <w:color w:val="000000"/>
                <w:sz w:val="20"/>
                <w:szCs w:val="20"/>
              </w:rPr>
              <w:t>Maturity</w:t>
            </w:r>
          </w:p>
        </w:tc>
      </w:tr>
      <w:tr w:rsidR="0065555D" w:rsidRPr="005D584E" w14:paraId="5075DD8E"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759370A7" w14:textId="77777777" w:rsidR="0065555D" w:rsidRPr="005D584E" w:rsidRDefault="0065555D" w:rsidP="00FB3903">
            <w:pPr>
              <w:spacing w:after="0" w:line="240" w:lineRule="auto"/>
              <w:jc w:val="center"/>
              <w:rPr>
                <w:rFonts w:eastAsia="Times New Roman" w:cs="Times New Roman"/>
                <w:sz w:val="20"/>
                <w:szCs w:val="20"/>
              </w:rPr>
            </w:pPr>
            <w:r w:rsidRPr="005D584E">
              <w:rPr>
                <w:rFonts w:eastAsia="Times New Roman" w:cs="Times New Roman"/>
                <w:sz w:val="20"/>
                <w:szCs w:val="20"/>
              </w:rPr>
              <w:t>1</w:t>
            </w:r>
          </w:p>
        </w:tc>
        <w:tc>
          <w:tcPr>
            <w:tcW w:w="0" w:type="auto"/>
            <w:tcBorders>
              <w:top w:val="nil"/>
              <w:left w:val="nil"/>
              <w:bottom w:val="nil"/>
              <w:right w:val="nil"/>
            </w:tcBorders>
            <w:vAlign w:val="center"/>
          </w:tcPr>
          <w:p w14:paraId="3455B84C" w14:textId="77777777" w:rsidR="0065555D" w:rsidRPr="005D584E" w:rsidRDefault="0065555D" w:rsidP="00FB3903">
            <w:pPr>
              <w:spacing w:line="240" w:lineRule="auto"/>
              <w:jc w:val="center"/>
              <w:rPr>
                <w:sz w:val="20"/>
                <w:szCs w:val="20"/>
              </w:rPr>
            </w:pPr>
            <w:r w:rsidRPr="005D584E">
              <w:rPr>
                <w:sz w:val="20"/>
                <w:szCs w:val="20"/>
              </w:rPr>
              <w:t>3.72</w:t>
            </w:r>
          </w:p>
        </w:tc>
        <w:tc>
          <w:tcPr>
            <w:tcW w:w="0" w:type="auto"/>
            <w:tcBorders>
              <w:top w:val="nil"/>
              <w:left w:val="nil"/>
              <w:bottom w:val="nil"/>
              <w:right w:val="nil"/>
            </w:tcBorders>
            <w:shd w:val="clear" w:color="auto" w:fill="auto"/>
            <w:noWrap/>
            <w:vAlign w:val="center"/>
          </w:tcPr>
          <w:p w14:paraId="578BF860" w14:textId="77777777" w:rsidR="0065555D" w:rsidRPr="005D584E" w:rsidRDefault="0065555D" w:rsidP="00FB3903">
            <w:pPr>
              <w:spacing w:line="240" w:lineRule="auto"/>
              <w:jc w:val="center"/>
              <w:rPr>
                <w:sz w:val="20"/>
                <w:szCs w:val="20"/>
              </w:rPr>
            </w:pPr>
            <w:r w:rsidRPr="005D584E">
              <w:rPr>
                <w:sz w:val="20"/>
                <w:szCs w:val="20"/>
              </w:rPr>
              <w:t>2,803</w:t>
            </w:r>
          </w:p>
        </w:tc>
        <w:tc>
          <w:tcPr>
            <w:tcW w:w="0" w:type="auto"/>
            <w:tcBorders>
              <w:top w:val="nil"/>
              <w:left w:val="nil"/>
              <w:bottom w:val="nil"/>
              <w:right w:val="nil"/>
            </w:tcBorders>
            <w:shd w:val="clear" w:color="auto" w:fill="auto"/>
            <w:noWrap/>
            <w:vAlign w:val="center"/>
          </w:tcPr>
          <w:p w14:paraId="2FC460A1" w14:textId="77777777" w:rsidR="0065555D" w:rsidRPr="005D584E" w:rsidRDefault="0065555D" w:rsidP="00FB3903">
            <w:pPr>
              <w:spacing w:line="240" w:lineRule="auto"/>
              <w:jc w:val="center"/>
              <w:rPr>
                <w:sz w:val="20"/>
                <w:szCs w:val="20"/>
              </w:rPr>
            </w:pPr>
            <w:r w:rsidRPr="005D584E">
              <w:rPr>
                <w:sz w:val="20"/>
                <w:szCs w:val="20"/>
              </w:rPr>
              <w:t>16.12</w:t>
            </w:r>
          </w:p>
        </w:tc>
        <w:tc>
          <w:tcPr>
            <w:tcW w:w="0" w:type="auto"/>
            <w:tcBorders>
              <w:top w:val="nil"/>
              <w:left w:val="nil"/>
              <w:bottom w:val="nil"/>
              <w:right w:val="nil"/>
            </w:tcBorders>
            <w:shd w:val="clear" w:color="auto" w:fill="auto"/>
            <w:noWrap/>
            <w:vAlign w:val="center"/>
          </w:tcPr>
          <w:p w14:paraId="1BBBCD98" w14:textId="77777777" w:rsidR="0065555D" w:rsidRPr="005D584E" w:rsidRDefault="0065555D" w:rsidP="00FB3903">
            <w:pPr>
              <w:spacing w:line="240" w:lineRule="auto"/>
              <w:jc w:val="center"/>
              <w:rPr>
                <w:sz w:val="20"/>
                <w:szCs w:val="20"/>
              </w:rPr>
            </w:pPr>
            <w:r w:rsidRPr="005D584E">
              <w:rPr>
                <w:sz w:val="20"/>
                <w:szCs w:val="20"/>
              </w:rPr>
              <w:t>1.4901</w:t>
            </w:r>
          </w:p>
        </w:tc>
        <w:tc>
          <w:tcPr>
            <w:tcW w:w="0" w:type="auto"/>
            <w:tcBorders>
              <w:top w:val="nil"/>
              <w:left w:val="nil"/>
              <w:bottom w:val="nil"/>
              <w:right w:val="nil"/>
            </w:tcBorders>
            <w:vAlign w:val="center"/>
          </w:tcPr>
          <w:p w14:paraId="0ECAF02D" w14:textId="77777777" w:rsidR="0065555D" w:rsidRPr="005D584E" w:rsidRDefault="0065555D" w:rsidP="00FB3903">
            <w:pPr>
              <w:spacing w:line="240" w:lineRule="auto"/>
              <w:jc w:val="center"/>
              <w:rPr>
                <w:sz w:val="20"/>
                <w:szCs w:val="20"/>
              </w:rPr>
            </w:pPr>
            <w:r w:rsidRPr="005D584E">
              <w:rPr>
                <w:sz w:val="20"/>
                <w:szCs w:val="20"/>
              </w:rPr>
              <w:t>13.62</w:t>
            </w:r>
          </w:p>
        </w:tc>
        <w:tc>
          <w:tcPr>
            <w:tcW w:w="0" w:type="auto"/>
            <w:tcBorders>
              <w:top w:val="nil"/>
              <w:left w:val="nil"/>
              <w:bottom w:val="nil"/>
              <w:right w:val="nil"/>
            </w:tcBorders>
            <w:vAlign w:val="center"/>
          </w:tcPr>
          <w:p w14:paraId="1A6CAB6B" w14:textId="77777777" w:rsidR="0065555D" w:rsidRPr="005D584E" w:rsidRDefault="0065555D" w:rsidP="00FB3903">
            <w:pPr>
              <w:spacing w:line="240" w:lineRule="auto"/>
              <w:jc w:val="center"/>
              <w:rPr>
                <w:sz w:val="20"/>
                <w:szCs w:val="20"/>
              </w:rPr>
            </w:pPr>
            <w:r w:rsidRPr="005D584E">
              <w:rPr>
                <w:sz w:val="20"/>
                <w:szCs w:val="20"/>
              </w:rPr>
              <w:t>0.82</w:t>
            </w:r>
          </w:p>
        </w:tc>
        <w:tc>
          <w:tcPr>
            <w:tcW w:w="0" w:type="auto"/>
            <w:tcBorders>
              <w:top w:val="nil"/>
              <w:left w:val="nil"/>
              <w:bottom w:val="nil"/>
              <w:right w:val="nil"/>
            </w:tcBorders>
            <w:shd w:val="clear" w:color="auto" w:fill="auto"/>
            <w:noWrap/>
            <w:vAlign w:val="center"/>
          </w:tcPr>
          <w:p w14:paraId="55F8DCC5" w14:textId="77777777" w:rsidR="0065555D" w:rsidRPr="005D584E" w:rsidRDefault="0065555D" w:rsidP="00FB3903">
            <w:pPr>
              <w:spacing w:line="240" w:lineRule="auto"/>
              <w:jc w:val="center"/>
              <w:rPr>
                <w:sz w:val="20"/>
                <w:szCs w:val="20"/>
              </w:rPr>
            </w:pPr>
            <w:r w:rsidRPr="005D584E">
              <w:rPr>
                <w:sz w:val="20"/>
                <w:szCs w:val="20"/>
              </w:rPr>
              <w:t>33.45</w:t>
            </w:r>
          </w:p>
        </w:tc>
        <w:tc>
          <w:tcPr>
            <w:tcW w:w="0" w:type="auto"/>
            <w:tcBorders>
              <w:top w:val="nil"/>
              <w:left w:val="nil"/>
              <w:bottom w:val="nil"/>
              <w:right w:val="nil"/>
            </w:tcBorders>
            <w:vAlign w:val="center"/>
          </w:tcPr>
          <w:p w14:paraId="473A548C" w14:textId="77777777" w:rsidR="0065555D" w:rsidRPr="005D584E" w:rsidRDefault="0065555D" w:rsidP="00FB3903">
            <w:pPr>
              <w:spacing w:line="240" w:lineRule="auto"/>
              <w:jc w:val="center"/>
              <w:rPr>
                <w:sz w:val="20"/>
                <w:szCs w:val="20"/>
              </w:rPr>
            </w:pPr>
            <w:r w:rsidRPr="005D584E">
              <w:rPr>
                <w:sz w:val="20"/>
                <w:szCs w:val="20"/>
              </w:rPr>
              <w:t>17.01</w:t>
            </w:r>
          </w:p>
        </w:tc>
        <w:tc>
          <w:tcPr>
            <w:tcW w:w="0" w:type="auto"/>
            <w:tcBorders>
              <w:top w:val="nil"/>
              <w:left w:val="nil"/>
              <w:bottom w:val="nil"/>
              <w:right w:val="nil"/>
            </w:tcBorders>
            <w:shd w:val="clear" w:color="auto" w:fill="auto"/>
            <w:noWrap/>
            <w:vAlign w:val="center"/>
          </w:tcPr>
          <w:p w14:paraId="23CA56AD" w14:textId="77777777" w:rsidR="0065555D" w:rsidRPr="005D584E" w:rsidRDefault="0065555D" w:rsidP="00FB3903">
            <w:pPr>
              <w:spacing w:line="240" w:lineRule="auto"/>
              <w:jc w:val="center"/>
              <w:rPr>
                <w:sz w:val="20"/>
                <w:szCs w:val="20"/>
              </w:rPr>
            </w:pPr>
            <w:r w:rsidRPr="005D584E">
              <w:rPr>
                <w:sz w:val="20"/>
                <w:szCs w:val="20"/>
              </w:rPr>
              <w:t>0.68</w:t>
            </w:r>
          </w:p>
        </w:tc>
        <w:tc>
          <w:tcPr>
            <w:tcW w:w="0" w:type="auto"/>
            <w:tcBorders>
              <w:top w:val="nil"/>
              <w:left w:val="nil"/>
              <w:bottom w:val="nil"/>
              <w:right w:val="nil"/>
            </w:tcBorders>
            <w:shd w:val="clear" w:color="auto" w:fill="auto"/>
            <w:noWrap/>
            <w:vAlign w:val="center"/>
          </w:tcPr>
          <w:p w14:paraId="246C0031" w14:textId="77777777" w:rsidR="0065555D" w:rsidRPr="005D584E" w:rsidRDefault="0065555D" w:rsidP="00FB3903">
            <w:pPr>
              <w:spacing w:line="240" w:lineRule="auto"/>
              <w:jc w:val="center"/>
              <w:rPr>
                <w:sz w:val="20"/>
                <w:szCs w:val="20"/>
              </w:rPr>
            </w:pPr>
            <w:r w:rsidRPr="005D584E">
              <w:rPr>
                <w:sz w:val="20"/>
                <w:szCs w:val="20"/>
              </w:rPr>
              <w:t>0.0745</w:t>
            </w:r>
          </w:p>
        </w:tc>
        <w:tc>
          <w:tcPr>
            <w:tcW w:w="0" w:type="auto"/>
            <w:tcBorders>
              <w:top w:val="nil"/>
              <w:left w:val="nil"/>
              <w:bottom w:val="nil"/>
              <w:right w:val="nil"/>
            </w:tcBorders>
            <w:shd w:val="clear" w:color="auto" w:fill="auto"/>
            <w:noWrap/>
            <w:vAlign w:val="center"/>
          </w:tcPr>
          <w:p w14:paraId="5E502D5E" w14:textId="77777777" w:rsidR="0065555D" w:rsidRPr="005D584E" w:rsidRDefault="0065555D" w:rsidP="00FB3903">
            <w:pPr>
              <w:spacing w:line="240" w:lineRule="auto"/>
              <w:jc w:val="center"/>
              <w:rPr>
                <w:sz w:val="20"/>
                <w:szCs w:val="20"/>
              </w:rPr>
            </w:pPr>
            <w:r w:rsidRPr="005D584E">
              <w:rPr>
                <w:sz w:val="20"/>
                <w:szCs w:val="20"/>
              </w:rPr>
              <w:t>0.15</w:t>
            </w:r>
          </w:p>
        </w:tc>
        <w:tc>
          <w:tcPr>
            <w:tcW w:w="0" w:type="auto"/>
            <w:tcBorders>
              <w:top w:val="nil"/>
              <w:left w:val="nil"/>
              <w:bottom w:val="nil"/>
              <w:right w:val="nil"/>
            </w:tcBorders>
            <w:shd w:val="clear" w:color="auto" w:fill="auto"/>
            <w:noWrap/>
            <w:vAlign w:val="center"/>
          </w:tcPr>
          <w:p w14:paraId="44E9599F" w14:textId="77777777" w:rsidR="0065555D" w:rsidRPr="005D584E" w:rsidRDefault="0065555D" w:rsidP="00FB3903">
            <w:pPr>
              <w:spacing w:line="240" w:lineRule="auto"/>
              <w:jc w:val="center"/>
              <w:rPr>
                <w:sz w:val="20"/>
                <w:szCs w:val="20"/>
              </w:rPr>
            </w:pPr>
            <w:r w:rsidRPr="005D584E">
              <w:rPr>
                <w:sz w:val="20"/>
                <w:szCs w:val="20"/>
              </w:rPr>
              <w:t>93.21</w:t>
            </w:r>
          </w:p>
        </w:tc>
        <w:tc>
          <w:tcPr>
            <w:tcW w:w="0" w:type="auto"/>
            <w:tcBorders>
              <w:top w:val="nil"/>
              <w:left w:val="nil"/>
              <w:bottom w:val="nil"/>
              <w:right w:val="nil"/>
            </w:tcBorders>
            <w:shd w:val="clear" w:color="auto" w:fill="auto"/>
            <w:noWrap/>
            <w:vAlign w:val="center"/>
          </w:tcPr>
          <w:p w14:paraId="472006DF" w14:textId="77777777" w:rsidR="0065555D" w:rsidRPr="005D584E" w:rsidRDefault="0065555D" w:rsidP="00FB3903">
            <w:pPr>
              <w:spacing w:line="240" w:lineRule="auto"/>
              <w:jc w:val="center"/>
              <w:rPr>
                <w:sz w:val="20"/>
                <w:szCs w:val="20"/>
              </w:rPr>
            </w:pPr>
            <w:r w:rsidRPr="005D584E">
              <w:rPr>
                <w:sz w:val="20"/>
                <w:szCs w:val="20"/>
              </w:rPr>
              <w:t>18.61</w:t>
            </w:r>
          </w:p>
        </w:tc>
        <w:tc>
          <w:tcPr>
            <w:tcW w:w="0" w:type="auto"/>
            <w:tcBorders>
              <w:top w:val="nil"/>
              <w:left w:val="nil"/>
              <w:bottom w:val="nil"/>
              <w:right w:val="nil"/>
            </w:tcBorders>
            <w:shd w:val="clear" w:color="auto" w:fill="auto"/>
            <w:noWrap/>
            <w:vAlign w:val="center"/>
          </w:tcPr>
          <w:p w14:paraId="32B4783F" w14:textId="77777777" w:rsidR="0065555D" w:rsidRPr="005D584E" w:rsidRDefault="0065555D" w:rsidP="00FB3903">
            <w:pPr>
              <w:spacing w:line="240" w:lineRule="auto"/>
              <w:jc w:val="center"/>
              <w:rPr>
                <w:sz w:val="20"/>
                <w:szCs w:val="20"/>
              </w:rPr>
            </w:pPr>
            <w:r w:rsidRPr="005D584E">
              <w:rPr>
                <w:sz w:val="20"/>
                <w:szCs w:val="20"/>
              </w:rPr>
              <w:t>9.82</w:t>
            </w:r>
          </w:p>
        </w:tc>
      </w:tr>
      <w:tr w:rsidR="0065555D" w:rsidRPr="005D584E" w14:paraId="401013CB"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54C1742A" w14:textId="77777777" w:rsidR="0065555D" w:rsidRPr="005D584E" w:rsidRDefault="0065555D" w:rsidP="00FB3903">
            <w:pPr>
              <w:spacing w:after="0" w:line="240" w:lineRule="auto"/>
              <w:jc w:val="center"/>
              <w:rPr>
                <w:rFonts w:eastAsia="Times New Roman" w:cs="Times New Roman"/>
                <w:sz w:val="20"/>
                <w:szCs w:val="20"/>
              </w:rPr>
            </w:pPr>
            <w:r w:rsidRPr="005D584E">
              <w:rPr>
                <w:rFonts w:eastAsia="Times New Roman" w:cs="Times New Roman"/>
                <w:sz w:val="20"/>
                <w:szCs w:val="20"/>
              </w:rPr>
              <w:t>2</w:t>
            </w:r>
          </w:p>
        </w:tc>
        <w:tc>
          <w:tcPr>
            <w:tcW w:w="0" w:type="auto"/>
            <w:tcBorders>
              <w:top w:val="nil"/>
              <w:left w:val="nil"/>
              <w:bottom w:val="nil"/>
              <w:right w:val="nil"/>
            </w:tcBorders>
            <w:vAlign w:val="center"/>
          </w:tcPr>
          <w:p w14:paraId="1C925876" w14:textId="77777777" w:rsidR="0065555D" w:rsidRPr="005D584E" w:rsidRDefault="0065555D" w:rsidP="00FB3903">
            <w:pPr>
              <w:spacing w:line="240" w:lineRule="auto"/>
              <w:jc w:val="center"/>
              <w:rPr>
                <w:sz w:val="20"/>
                <w:szCs w:val="20"/>
              </w:rPr>
            </w:pPr>
            <w:r w:rsidRPr="005D584E">
              <w:rPr>
                <w:sz w:val="20"/>
                <w:szCs w:val="20"/>
              </w:rPr>
              <w:t>8.55</w:t>
            </w:r>
          </w:p>
        </w:tc>
        <w:tc>
          <w:tcPr>
            <w:tcW w:w="0" w:type="auto"/>
            <w:tcBorders>
              <w:top w:val="nil"/>
              <w:left w:val="nil"/>
              <w:bottom w:val="nil"/>
              <w:right w:val="nil"/>
            </w:tcBorders>
            <w:shd w:val="clear" w:color="auto" w:fill="auto"/>
            <w:noWrap/>
            <w:vAlign w:val="center"/>
          </w:tcPr>
          <w:p w14:paraId="35585B3E" w14:textId="77777777" w:rsidR="0065555D" w:rsidRPr="005D584E" w:rsidRDefault="0065555D" w:rsidP="00FB3903">
            <w:pPr>
              <w:spacing w:line="240" w:lineRule="auto"/>
              <w:jc w:val="center"/>
              <w:rPr>
                <w:sz w:val="20"/>
                <w:szCs w:val="20"/>
              </w:rPr>
            </w:pPr>
            <w:r w:rsidRPr="005D584E">
              <w:rPr>
                <w:sz w:val="20"/>
                <w:szCs w:val="20"/>
              </w:rPr>
              <w:t>2,803</w:t>
            </w:r>
          </w:p>
        </w:tc>
        <w:tc>
          <w:tcPr>
            <w:tcW w:w="0" w:type="auto"/>
            <w:tcBorders>
              <w:top w:val="nil"/>
              <w:left w:val="nil"/>
              <w:bottom w:val="nil"/>
              <w:right w:val="nil"/>
            </w:tcBorders>
            <w:shd w:val="clear" w:color="auto" w:fill="auto"/>
            <w:noWrap/>
            <w:vAlign w:val="center"/>
          </w:tcPr>
          <w:p w14:paraId="19B13217" w14:textId="77777777" w:rsidR="0065555D" w:rsidRPr="005D584E" w:rsidRDefault="0065555D" w:rsidP="00FB3903">
            <w:pPr>
              <w:spacing w:line="240" w:lineRule="auto"/>
              <w:jc w:val="center"/>
              <w:rPr>
                <w:sz w:val="20"/>
                <w:szCs w:val="20"/>
              </w:rPr>
            </w:pPr>
            <w:r w:rsidRPr="005D584E">
              <w:rPr>
                <w:sz w:val="20"/>
                <w:szCs w:val="20"/>
              </w:rPr>
              <w:t>16.12</w:t>
            </w:r>
          </w:p>
        </w:tc>
        <w:tc>
          <w:tcPr>
            <w:tcW w:w="0" w:type="auto"/>
            <w:tcBorders>
              <w:top w:val="nil"/>
              <w:left w:val="nil"/>
              <w:bottom w:val="nil"/>
              <w:right w:val="nil"/>
            </w:tcBorders>
            <w:shd w:val="clear" w:color="auto" w:fill="auto"/>
            <w:noWrap/>
            <w:vAlign w:val="center"/>
          </w:tcPr>
          <w:p w14:paraId="3DDB6AA8" w14:textId="77777777" w:rsidR="0065555D" w:rsidRPr="005D584E" w:rsidRDefault="0065555D" w:rsidP="00FB3903">
            <w:pPr>
              <w:spacing w:line="240" w:lineRule="auto"/>
              <w:jc w:val="center"/>
              <w:rPr>
                <w:sz w:val="20"/>
                <w:szCs w:val="20"/>
              </w:rPr>
            </w:pPr>
            <w:r w:rsidRPr="005D584E">
              <w:rPr>
                <w:sz w:val="20"/>
                <w:szCs w:val="20"/>
              </w:rPr>
              <w:t>1.5090</w:t>
            </w:r>
          </w:p>
        </w:tc>
        <w:tc>
          <w:tcPr>
            <w:tcW w:w="0" w:type="auto"/>
            <w:tcBorders>
              <w:top w:val="nil"/>
              <w:left w:val="nil"/>
              <w:bottom w:val="nil"/>
              <w:right w:val="nil"/>
            </w:tcBorders>
            <w:vAlign w:val="center"/>
          </w:tcPr>
          <w:p w14:paraId="259781C1" w14:textId="77777777" w:rsidR="0065555D" w:rsidRPr="005D584E" w:rsidRDefault="0065555D" w:rsidP="00FB3903">
            <w:pPr>
              <w:spacing w:line="240" w:lineRule="auto"/>
              <w:jc w:val="center"/>
              <w:rPr>
                <w:sz w:val="20"/>
                <w:szCs w:val="20"/>
              </w:rPr>
            </w:pPr>
            <w:r w:rsidRPr="005D584E">
              <w:rPr>
                <w:sz w:val="20"/>
                <w:szCs w:val="20"/>
              </w:rPr>
              <w:t>22.20</w:t>
            </w:r>
          </w:p>
        </w:tc>
        <w:tc>
          <w:tcPr>
            <w:tcW w:w="0" w:type="auto"/>
            <w:tcBorders>
              <w:top w:val="nil"/>
              <w:left w:val="nil"/>
              <w:bottom w:val="nil"/>
              <w:right w:val="nil"/>
            </w:tcBorders>
            <w:vAlign w:val="center"/>
          </w:tcPr>
          <w:p w14:paraId="405990F8" w14:textId="77777777" w:rsidR="0065555D" w:rsidRPr="005D584E" w:rsidRDefault="0065555D" w:rsidP="00FB3903">
            <w:pPr>
              <w:spacing w:line="240" w:lineRule="auto"/>
              <w:jc w:val="center"/>
              <w:rPr>
                <w:sz w:val="20"/>
                <w:szCs w:val="20"/>
              </w:rPr>
            </w:pPr>
            <w:r w:rsidRPr="005D584E">
              <w:rPr>
                <w:sz w:val="20"/>
                <w:szCs w:val="20"/>
              </w:rPr>
              <w:t>0.80</w:t>
            </w:r>
          </w:p>
        </w:tc>
        <w:tc>
          <w:tcPr>
            <w:tcW w:w="0" w:type="auto"/>
            <w:tcBorders>
              <w:top w:val="nil"/>
              <w:left w:val="nil"/>
              <w:bottom w:val="nil"/>
              <w:right w:val="nil"/>
            </w:tcBorders>
            <w:shd w:val="clear" w:color="auto" w:fill="auto"/>
            <w:noWrap/>
            <w:vAlign w:val="center"/>
          </w:tcPr>
          <w:p w14:paraId="471B5B5A" w14:textId="77777777" w:rsidR="0065555D" w:rsidRPr="005D584E" w:rsidRDefault="0065555D" w:rsidP="00FB3903">
            <w:pPr>
              <w:spacing w:line="240" w:lineRule="auto"/>
              <w:jc w:val="center"/>
              <w:rPr>
                <w:sz w:val="20"/>
                <w:szCs w:val="20"/>
              </w:rPr>
            </w:pPr>
            <w:r w:rsidRPr="005D584E">
              <w:rPr>
                <w:sz w:val="20"/>
                <w:szCs w:val="20"/>
              </w:rPr>
              <w:t>21.26</w:t>
            </w:r>
          </w:p>
        </w:tc>
        <w:tc>
          <w:tcPr>
            <w:tcW w:w="0" w:type="auto"/>
            <w:tcBorders>
              <w:top w:val="nil"/>
              <w:left w:val="nil"/>
              <w:bottom w:val="nil"/>
              <w:right w:val="nil"/>
            </w:tcBorders>
            <w:vAlign w:val="center"/>
          </w:tcPr>
          <w:p w14:paraId="7F8C5CB0" w14:textId="77777777" w:rsidR="0065555D" w:rsidRPr="005D584E" w:rsidRDefault="0065555D" w:rsidP="00FB3903">
            <w:pPr>
              <w:spacing w:line="240" w:lineRule="auto"/>
              <w:jc w:val="center"/>
              <w:rPr>
                <w:sz w:val="20"/>
                <w:szCs w:val="20"/>
              </w:rPr>
            </w:pPr>
            <w:r w:rsidRPr="005D584E">
              <w:rPr>
                <w:sz w:val="20"/>
                <w:szCs w:val="20"/>
              </w:rPr>
              <w:t>10.87</w:t>
            </w:r>
          </w:p>
        </w:tc>
        <w:tc>
          <w:tcPr>
            <w:tcW w:w="0" w:type="auto"/>
            <w:tcBorders>
              <w:top w:val="nil"/>
              <w:left w:val="nil"/>
              <w:bottom w:val="nil"/>
              <w:right w:val="nil"/>
            </w:tcBorders>
            <w:shd w:val="clear" w:color="auto" w:fill="auto"/>
            <w:noWrap/>
            <w:vAlign w:val="center"/>
          </w:tcPr>
          <w:p w14:paraId="46CCD9B4" w14:textId="77777777" w:rsidR="0065555D" w:rsidRPr="005D584E" w:rsidRDefault="0065555D" w:rsidP="00FB3903">
            <w:pPr>
              <w:spacing w:line="240" w:lineRule="auto"/>
              <w:jc w:val="center"/>
              <w:rPr>
                <w:sz w:val="20"/>
                <w:szCs w:val="20"/>
              </w:rPr>
            </w:pPr>
            <w:r w:rsidRPr="005D584E">
              <w:rPr>
                <w:sz w:val="20"/>
                <w:szCs w:val="20"/>
              </w:rPr>
              <w:t>0.70</w:t>
            </w:r>
          </w:p>
        </w:tc>
        <w:tc>
          <w:tcPr>
            <w:tcW w:w="0" w:type="auto"/>
            <w:tcBorders>
              <w:top w:val="nil"/>
              <w:left w:val="nil"/>
              <w:bottom w:val="nil"/>
              <w:right w:val="nil"/>
            </w:tcBorders>
            <w:shd w:val="clear" w:color="auto" w:fill="auto"/>
            <w:noWrap/>
            <w:vAlign w:val="center"/>
          </w:tcPr>
          <w:p w14:paraId="3BC89B58" w14:textId="77777777" w:rsidR="0065555D" w:rsidRPr="005D584E" w:rsidRDefault="0065555D" w:rsidP="00FB3903">
            <w:pPr>
              <w:spacing w:line="240" w:lineRule="auto"/>
              <w:jc w:val="center"/>
              <w:rPr>
                <w:sz w:val="20"/>
                <w:szCs w:val="20"/>
              </w:rPr>
            </w:pPr>
            <w:r w:rsidRPr="005D584E">
              <w:rPr>
                <w:sz w:val="20"/>
                <w:szCs w:val="20"/>
              </w:rPr>
              <w:t>0.0757</w:t>
            </w:r>
          </w:p>
        </w:tc>
        <w:tc>
          <w:tcPr>
            <w:tcW w:w="0" w:type="auto"/>
            <w:tcBorders>
              <w:top w:val="nil"/>
              <w:left w:val="nil"/>
              <w:bottom w:val="nil"/>
              <w:right w:val="nil"/>
            </w:tcBorders>
            <w:shd w:val="clear" w:color="auto" w:fill="auto"/>
            <w:noWrap/>
            <w:vAlign w:val="center"/>
          </w:tcPr>
          <w:p w14:paraId="19FC475A" w14:textId="77777777" w:rsidR="0065555D" w:rsidRPr="005D584E" w:rsidRDefault="0065555D" w:rsidP="00FB3903">
            <w:pPr>
              <w:spacing w:line="240" w:lineRule="auto"/>
              <w:jc w:val="center"/>
              <w:rPr>
                <w:sz w:val="20"/>
                <w:szCs w:val="20"/>
              </w:rPr>
            </w:pPr>
            <w:r w:rsidRPr="005D584E">
              <w:rPr>
                <w:sz w:val="20"/>
                <w:szCs w:val="20"/>
              </w:rPr>
              <w:t>0.15</w:t>
            </w:r>
          </w:p>
        </w:tc>
        <w:tc>
          <w:tcPr>
            <w:tcW w:w="0" w:type="auto"/>
            <w:tcBorders>
              <w:top w:val="nil"/>
              <w:left w:val="nil"/>
              <w:bottom w:val="nil"/>
              <w:right w:val="nil"/>
            </w:tcBorders>
            <w:shd w:val="clear" w:color="auto" w:fill="auto"/>
            <w:noWrap/>
            <w:vAlign w:val="center"/>
          </w:tcPr>
          <w:p w14:paraId="7E4A0D00" w14:textId="77777777" w:rsidR="0065555D" w:rsidRPr="005D584E" w:rsidRDefault="0065555D" w:rsidP="00FB3903">
            <w:pPr>
              <w:spacing w:line="240" w:lineRule="auto"/>
              <w:jc w:val="center"/>
              <w:rPr>
                <w:sz w:val="20"/>
                <w:szCs w:val="20"/>
              </w:rPr>
            </w:pPr>
            <w:r w:rsidRPr="005D584E">
              <w:rPr>
                <w:sz w:val="20"/>
                <w:szCs w:val="20"/>
              </w:rPr>
              <w:t>94.75</w:t>
            </w:r>
          </w:p>
        </w:tc>
        <w:tc>
          <w:tcPr>
            <w:tcW w:w="0" w:type="auto"/>
            <w:tcBorders>
              <w:top w:val="nil"/>
              <w:left w:val="nil"/>
              <w:bottom w:val="nil"/>
              <w:right w:val="nil"/>
            </w:tcBorders>
            <w:shd w:val="clear" w:color="auto" w:fill="auto"/>
            <w:noWrap/>
            <w:vAlign w:val="center"/>
          </w:tcPr>
          <w:p w14:paraId="79E1B9E0" w14:textId="77777777" w:rsidR="0065555D" w:rsidRPr="005D584E" w:rsidRDefault="0065555D" w:rsidP="00FB3903">
            <w:pPr>
              <w:spacing w:line="240" w:lineRule="auto"/>
              <w:jc w:val="center"/>
              <w:rPr>
                <w:sz w:val="20"/>
                <w:szCs w:val="20"/>
              </w:rPr>
            </w:pPr>
            <w:r w:rsidRPr="005D584E">
              <w:rPr>
                <w:sz w:val="20"/>
                <w:szCs w:val="20"/>
              </w:rPr>
              <w:t>19.16</w:t>
            </w:r>
          </w:p>
        </w:tc>
        <w:tc>
          <w:tcPr>
            <w:tcW w:w="0" w:type="auto"/>
            <w:tcBorders>
              <w:top w:val="nil"/>
              <w:left w:val="nil"/>
              <w:bottom w:val="nil"/>
              <w:right w:val="nil"/>
            </w:tcBorders>
            <w:shd w:val="clear" w:color="auto" w:fill="auto"/>
            <w:noWrap/>
            <w:vAlign w:val="center"/>
          </w:tcPr>
          <w:p w14:paraId="63A4B066" w14:textId="77777777" w:rsidR="0065555D" w:rsidRPr="005D584E" w:rsidRDefault="0065555D" w:rsidP="00FB3903">
            <w:pPr>
              <w:spacing w:line="240" w:lineRule="auto"/>
              <w:jc w:val="center"/>
              <w:rPr>
                <w:sz w:val="20"/>
                <w:szCs w:val="20"/>
              </w:rPr>
            </w:pPr>
            <w:r w:rsidRPr="005D584E">
              <w:rPr>
                <w:sz w:val="20"/>
                <w:szCs w:val="20"/>
              </w:rPr>
              <w:t>9.94</w:t>
            </w:r>
          </w:p>
        </w:tc>
      </w:tr>
      <w:tr w:rsidR="0065555D" w:rsidRPr="005D584E" w14:paraId="16D1131E"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43D42B50" w14:textId="77777777" w:rsidR="0065555D" w:rsidRPr="005D584E" w:rsidRDefault="0065555D" w:rsidP="00FB3903">
            <w:pPr>
              <w:spacing w:after="0" w:line="240" w:lineRule="auto"/>
              <w:jc w:val="center"/>
              <w:rPr>
                <w:rFonts w:eastAsia="Times New Roman" w:cs="Times New Roman"/>
                <w:sz w:val="20"/>
                <w:szCs w:val="20"/>
              </w:rPr>
            </w:pPr>
            <w:r w:rsidRPr="005D584E">
              <w:rPr>
                <w:rFonts w:eastAsia="Times New Roman" w:cs="Times New Roman"/>
                <w:sz w:val="20"/>
                <w:szCs w:val="20"/>
              </w:rPr>
              <w:t>3</w:t>
            </w:r>
          </w:p>
        </w:tc>
        <w:tc>
          <w:tcPr>
            <w:tcW w:w="0" w:type="auto"/>
            <w:tcBorders>
              <w:top w:val="nil"/>
              <w:left w:val="nil"/>
              <w:bottom w:val="nil"/>
              <w:right w:val="nil"/>
            </w:tcBorders>
            <w:vAlign w:val="center"/>
          </w:tcPr>
          <w:p w14:paraId="3D8E6A5D" w14:textId="77777777" w:rsidR="0065555D" w:rsidRPr="005D584E" w:rsidRDefault="0065555D" w:rsidP="00FB3903">
            <w:pPr>
              <w:spacing w:line="240" w:lineRule="auto"/>
              <w:jc w:val="center"/>
              <w:rPr>
                <w:sz w:val="20"/>
                <w:szCs w:val="20"/>
              </w:rPr>
            </w:pPr>
            <w:r w:rsidRPr="005D584E">
              <w:rPr>
                <w:sz w:val="20"/>
                <w:szCs w:val="20"/>
              </w:rPr>
              <w:t>14.43</w:t>
            </w:r>
          </w:p>
        </w:tc>
        <w:tc>
          <w:tcPr>
            <w:tcW w:w="0" w:type="auto"/>
            <w:tcBorders>
              <w:top w:val="nil"/>
              <w:left w:val="nil"/>
              <w:bottom w:val="nil"/>
              <w:right w:val="nil"/>
            </w:tcBorders>
            <w:shd w:val="clear" w:color="auto" w:fill="auto"/>
            <w:noWrap/>
            <w:vAlign w:val="center"/>
          </w:tcPr>
          <w:p w14:paraId="1B934482" w14:textId="77777777" w:rsidR="0065555D" w:rsidRPr="005D584E" w:rsidRDefault="0065555D" w:rsidP="00FB3903">
            <w:pPr>
              <w:spacing w:line="240" w:lineRule="auto"/>
              <w:jc w:val="center"/>
              <w:rPr>
                <w:sz w:val="20"/>
                <w:szCs w:val="20"/>
              </w:rPr>
            </w:pPr>
            <w:r w:rsidRPr="005D584E">
              <w:rPr>
                <w:sz w:val="20"/>
                <w:szCs w:val="20"/>
              </w:rPr>
              <w:t>2,803</w:t>
            </w:r>
          </w:p>
        </w:tc>
        <w:tc>
          <w:tcPr>
            <w:tcW w:w="0" w:type="auto"/>
            <w:tcBorders>
              <w:top w:val="nil"/>
              <w:left w:val="nil"/>
              <w:bottom w:val="nil"/>
              <w:right w:val="nil"/>
            </w:tcBorders>
            <w:shd w:val="clear" w:color="auto" w:fill="auto"/>
            <w:noWrap/>
            <w:vAlign w:val="center"/>
          </w:tcPr>
          <w:p w14:paraId="7BB7F714" w14:textId="77777777" w:rsidR="0065555D" w:rsidRPr="005D584E" w:rsidRDefault="0065555D" w:rsidP="00FB3903">
            <w:pPr>
              <w:spacing w:line="240" w:lineRule="auto"/>
              <w:jc w:val="center"/>
              <w:rPr>
                <w:sz w:val="20"/>
                <w:szCs w:val="20"/>
              </w:rPr>
            </w:pPr>
            <w:r w:rsidRPr="005D584E">
              <w:rPr>
                <w:sz w:val="20"/>
                <w:szCs w:val="20"/>
              </w:rPr>
              <w:t>16.12</w:t>
            </w:r>
          </w:p>
        </w:tc>
        <w:tc>
          <w:tcPr>
            <w:tcW w:w="0" w:type="auto"/>
            <w:tcBorders>
              <w:top w:val="nil"/>
              <w:left w:val="nil"/>
              <w:bottom w:val="nil"/>
              <w:right w:val="nil"/>
            </w:tcBorders>
            <w:shd w:val="clear" w:color="auto" w:fill="auto"/>
            <w:noWrap/>
            <w:vAlign w:val="center"/>
          </w:tcPr>
          <w:p w14:paraId="5B8EC1E2" w14:textId="77777777" w:rsidR="0065555D" w:rsidRPr="005D584E" w:rsidRDefault="0065555D" w:rsidP="00FB3903">
            <w:pPr>
              <w:spacing w:line="240" w:lineRule="auto"/>
              <w:jc w:val="center"/>
              <w:rPr>
                <w:sz w:val="20"/>
                <w:szCs w:val="20"/>
              </w:rPr>
            </w:pPr>
            <w:r w:rsidRPr="005D584E">
              <w:rPr>
                <w:sz w:val="20"/>
                <w:szCs w:val="20"/>
              </w:rPr>
              <w:t>1.5162</w:t>
            </w:r>
          </w:p>
        </w:tc>
        <w:tc>
          <w:tcPr>
            <w:tcW w:w="0" w:type="auto"/>
            <w:tcBorders>
              <w:top w:val="nil"/>
              <w:left w:val="nil"/>
              <w:bottom w:val="nil"/>
              <w:right w:val="nil"/>
            </w:tcBorders>
            <w:vAlign w:val="center"/>
          </w:tcPr>
          <w:p w14:paraId="0EB0F29E" w14:textId="77777777" w:rsidR="0065555D" w:rsidRPr="005D584E" w:rsidRDefault="0065555D" w:rsidP="00FB3903">
            <w:pPr>
              <w:spacing w:line="240" w:lineRule="auto"/>
              <w:jc w:val="center"/>
              <w:rPr>
                <w:sz w:val="20"/>
                <w:szCs w:val="20"/>
              </w:rPr>
            </w:pPr>
            <w:r w:rsidRPr="005D584E">
              <w:rPr>
                <w:sz w:val="20"/>
                <w:szCs w:val="20"/>
              </w:rPr>
              <w:t>30.40</w:t>
            </w:r>
          </w:p>
        </w:tc>
        <w:tc>
          <w:tcPr>
            <w:tcW w:w="0" w:type="auto"/>
            <w:tcBorders>
              <w:top w:val="nil"/>
              <w:left w:val="nil"/>
              <w:bottom w:val="nil"/>
              <w:right w:val="nil"/>
            </w:tcBorders>
            <w:vAlign w:val="center"/>
          </w:tcPr>
          <w:p w14:paraId="35584003" w14:textId="77777777" w:rsidR="0065555D" w:rsidRPr="005D584E" w:rsidRDefault="0065555D" w:rsidP="00FB3903">
            <w:pPr>
              <w:spacing w:line="240" w:lineRule="auto"/>
              <w:jc w:val="center"/>
              <w:rPr>
                <w:sz w:val="20"/>
                <w:szCs w:val="20"/>
              </w:rPr>
            </w:pPr>
            <w:r w:rsidRPr="005D584E">
              <w:rPr>
                <w:sz w:val="20"/>
                <w:szCs w:val="20"/>
              </w:rPr>
              <w:t>0.74</w:t>
            </w:r>
          </w:p>
        </w:tc>
        <w:tc>
          <w:tcPr>
            <w:tcW w:w="0" w:type="auto"/>
            <w:tcBorders>
              <w:top w:val="nil"/>
              <w:left w:val="nil"/>
              <w:bottom w:val="nil"/>
              <w:right w:val="nil"/>
            </w:tcBorders>
            <w:shd w:val="clear" w:color="auto" w:fill="auto"/>
            <w:noWrap/>
            <w:vAlign w:val="center"/>
          </w:tcPr>
          <w:p w14:paraId="159C77CD" w14:textId="77777777" w:rsidR="0065555D" w:rsidRPr="005D584E" w:rsidRDefault="0065555D" w:rsidP="00FB3903">
            <w:pPr>
              <w:spacing w:line="240" w:lineRule="auto"/>
              <w:jc w:val="center"/>
              <w:rPr>
                <w:sz w:val="20"/>
                <w:szCs w:val="20"/>
              </w:rPr>
            </w:pPr>
            <w:r w:rsidRPr="005D584E">
              <w:rPr>
                <w:sz w:val="20"/>
                <w:szCs w:val="20"/>
              </w:rPr>
              <w:t>16.04</w:t>
            </w:r>
          </w:p>
        </w:tc>
        <w:tc>
          <w:tcPr>
            <w:tcW w:w="0" w:type="auto"/>
            <w:tcBorders>
              <w:top w:val="nil"/>
              <w:left w:val="nil"/>
              <w:bottom w:val="nil"/>
              <w:right w:val="nil"/>
            </w:tcBorders>
            <w:vAlign w:val="center"/>
          </w:tcPr>
          <w:p w14:paraId="2EACBC9B" w14:textId="77777777" w:rsidR="0065555D" w:rsidRPr="005D584E" w:rsidRDefault="0065555D" w:rsidP="00FB3903">
            <w:pPr>
              <w:spacing w:line="240" w:lineRule="auto"/>
              <w:jc w:val="center"/>
              <w:rPr>
                <w:sz w:val="20"/>
                <w:szCs w:val="20"/>
              </w:rPr>
            </w:pPr>
            <w:r w:rsidRPr="005D584E">
              <w:rPr>
                <w:sz w:val="20"/>
                <w:szCs w:val="20"/>
              </w:rPr>
              <w:t>8.21</w:t>
            </w:r>
          </w:p>
        </w:tc>
        <w:tc>
          <w:tcPr>
            <w:tcW w:w="0" w:type="auto"/>
            <w:tcBorders>
              <w:top w:val="nil"/>
              <w:left w:val="nil"/>
              <w:bottom w:val="nil"/>
              <w:right w:val="nil"/>
            </w:tcBorders>
            <w:shd w:val="clear" w:color="auto" w:fill="auto"/>
            <w:noWrap/>
            <w:vAlign w:val="center"/>
          </w:tcPr>
          <w:p w14:paraId="33CC4493" w14:textId="77777777" w:rsidR="0065555D" w:rsidRPr="005D584E" w:rsidRDefault="0065555D" w:rsidP="00FB3903">
            <w:pPr>
              <w:spacing w:line="240" w:lineRule="auto"/>
              <w:jc w:val="center"/>
              <w:rPr>
                <w:sz w:val="20"/>
                <w:szCs w:val="20"/>
              </w:rPr>
            </w:pPr>
            <w:r w:rsidRPr="005D584E">
              <w:rPr>
                <w:sz w:val="20"/>
                <w:szCs w:val="20"/>
              </w:rPr>
              <w:t>0.70</w:t>
            </w:r>
          </w:p>
        </w:tc>
        <w:tc>
          <w:tcPr>
            <w:tcW w:w="0" w:type="auto"/>
            <w:tcBorders>
              <w:top w:val="nil"/>
              <w:left w:val="nil"/>
              <w:bottom w:val="nil"/>
              <w:right w:val="nil"/>
            </w:tcBorders>
            <w:shd w:val="clear" w:color="auto" w:fill="auto"/>
            <w:noWrap/>
            <w:vAlign w:val="center"/>
          </w:tcPr>
          <w:p w14:paraId="3E6F9312" w14:textId="77777777" w:rsidR="0065555D" w:rsidRPr="005D584E" w:rsidRDefault="0065555D" w:rsidP="00FB3903">
            <w:pPr>
              <w:spacing w:line="240" w:lineRule="auto"/>
              <w:jc w:val="center"/>
              <w:rPr>
                <w:sz w:val="20"/>
                <w:szCs w:val="20"/>
              </w:rPr>
            </w:pPr>
            <w:r w:rsidRPr="005D584E">
              <w:rPr>
                <w:sz w:val="20"/>
                <w:szCs w:val="20"/>
              </w:rPr>
              <w:t>0.0750</w:t>
            </w:r>
          </w:p>
        </w:tc>
        <w:tc>
          <w:tcPr>
            <w:tcW w:w="0" w:type="auto"/>
            <w:tcBorders>
              <w:top w:val="nil"/>
              <w:left w:val="nil"/>
              <w:bottom w:val="nil"/>
              <w:right w:val="nil"/>
            </w:tcBorders>
            <w:shd w:val="clear" w:color="auto" w:fill="auto"/>
            <w:noWrap/>
            <w:vAlign w:val="center"/>
          </w:tcPr>
          <w:p w14:paraId="5969E0F2" w14:textId="77777777" w:rsidR="0065555D" w:rsidRPr="005D584E" w:rsidRDefault="0065555D" w:rsidP="00FB3903">
            <w:pPr>
              <w:spacing w:line="240" w:lineRule="auto"/>
              <w:jc w:val="center"/>
              <w:rPr>
                <w:sz w:val="20"/>
                <w:szCs w:val="20"/>
              </w:rPr>
            </w:pPr>
            <w:r w:rsidRPr="005D584E">
              <w:rPr>
                <w:sz w:val="20"/>
                <w:szCs w:val="20"/>
              </w:rPr>
              <w:t>0.14</w:t>
            </w:r>
          </w:p>
        </w:tc>
        <w:tc>
          <w:tcPr>
            <w:tcW w:w="0" w:type="auto"/>
            <w:tcBorders>
              <w:top w:val="nil"/>
              <w:left w:val="nil"/>
              <w:bottom w:val="nil"/>
              <w:right w:val="nil"/>
            </w:tcBorders>
            <w:shd w:val="clear" w:color="auto" w:fill="auto"/>
            <w:noWrap/>
            <w:vAlign w:val="center"/>
          </w:tcPr>
          <w:p w14:paraId="4DE781B9" w14:textId="77777777" w:rsidR="0065555D" w:rsidRPr="005D584E" w:rsidRDefault="0065555D" w:rsidP="00FB3903">
            <w:pPr>
              <w:spacing w:line="240" w:lineRule="auto"/>
              <w:jc w:val="center"/>
              <w:rPr>
                <w:sz w:val="20"/>
                <w:szCs w:val="20"/>
              </w:rPr>
            </w:pPr>
            <w:r w:rsidRPr="005D584E">
              <w:rPr>
                <w:sz w:val="20"/>
                <w:szCs w:val="20"/>
              </w:rPr>
              <w:t>95.87</w:t>
            </w:r>
          </w:p>
        </w:tc>
        <w:tc>
          <w:tcPr>
            <w:tcW w:w="0" w:type="auto"/>
            <w:tcBorders>
              <w:top w:val="nil"/>
              <w:left w:val="nil"/>
              <w:bottom w:val="nil"/>
              <w:right w:val="nil"/>
            </w:tcBorders>
            <w:shd w:val="clear" w:color="auto" w:fill="auto"/>
            <w:noWrap/>
            <w:vAlign w:val="center"/>
          </w:tcPr>
          <w:p w14:paraId="45687FEE" w14:textId="77777777" w:rsidR="0065555D" w:rsidRPr="005D584E" w:rsidRDefault="0065555D" w:rsidP="00FB3903">
            <w:pPr>
              <w:spacing w:line="240" w:lineRule="auto"/>
              <w:jc w:val="center"/>
              <w:rPr>
                <w:sz w:val="20"/>
                <w:szCs w:val="20"/>
              </w:rPr>
            </w:pPr>
            <w:r w:rsidRPr="005D584E">
              <w:rPr>
                <w:sz w:val="20"/>
                <w:szCs w:val="20"/>
              </w:rPr>
              <w:t>19.29</w:t>
            </w:r>
          </w:p>
        </w:tc>
        <w:tc>
          <w:tcPr>
            <w:tcW w:w="0" w:type="auto"/>
            <w:tcBorders>
              <w:top w:val="nil"/>
              <w:left w:val="nil"/>
              <w:bottom w:val="nil"/>
              <w:right w:val="nil"/>
            </w:tcBorders>
            <w:shd w:val="clear" w:color="auto" w:fill="auto"/>
            <w:noWrap/>
            <w:vAlign w:val="center"/>
          </w:tcPr>
          <w:p w14:paraId="5500B29D" w14:textId="77777777" w:rsidR="0065555D" w:rsidRPr="005D584E" w:rsidRDefault="0065555D" w:rsidP="00FB3903">
            <w:pPr>
              <w:spacing w:line="240" w:lineRule="auto"/>
              <w:jc w:val="center"/>
              <w:rPr>
                <w:sz w:val="20"/>
                <w:szCs w:val="20"/>
              </w:rPr>
            </w:pPr>
            <w:r w:rsidRPr="005D584E">
              <w:rPr>
                <w:sz w:val="20"/>
                <w:szCs w:val="20"/>
              </w:rPr>
              <w:t>9.89</w:t>
            </w:r>
          </w:p>
        </w:tc>
      </w:tr>
      <w:tr w:rsidR="0065555D" w:rsidRPr="005D584E" w14:paraId="50052FE0"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6DD736D2" w14:textId="77777777" w:rsidR="0065555D" w:rsidRPr="005D584E" w:rsidRDefault="0065555D" w:rsidP="00FB3903">
            <w:pPr>
              <w:spacing w:after="0" w:line="240" w:lineRule="auto"/>
              <w:jc w:val="center"/>
              <w:rPr>
                <w:rFonts w:eastAsia="Times New Roman" w:cs="Times New Roman"/>
                <w:sz w:val="20"/>
                <w:szCs w:val="20"/>
              </w:rPr>
            </w:pPr>
            <w:r w:rsidRPr="005D584E">
              <w:rPr>
                <w:rFonts w:eastAsia="Times New Roman" w:cs="Times New Roman"/>
                <w:sz w:val="20"/>
                <w:szCs w:val="20"/>
              </w:rPr>
              <w:t>4</w:t>
            </w:r>
          </w:p>
        </w:tc>
        <w:tc>
          <w:tcPr>
            <w:tcW w:w="0" w:type="auto"/>
            <w:tcBorders>
              <w:top w:val="nil"/>
              <w:left w:val="nil"/>
              <w:bottom w:val="nil"/>
              <w:right w:val="nil"/>
            </w:tcBorders>
            <w:vAlign w:val="center"/>
          </w:tcPr>
          <w:p w14:paraId="745EF6B8" w14:textId="77777777" w:rsidR="0065555D" w:rsidRPr="005D584E" w:rsidRDefault="0065555D" w:rsidP="00FB3903">
            <w:pPr>
              <w:spacing w:line="240" w:lineRule="auto"/>
              <w:jc w:val="center"/>
              <w:rPr>
                <w:sz w:val="20"/>
                <w:szCs w:val="20"/>
              </w:rPr>
            </w:pPr>
            <w:r w:rsidRPr="005D584E">
              <w:rPr>
                <w:sz w:val="20"/>
                <w:szCs w:val="20"/>
              </w:rPr>
              <w:t>24.52</w:t>
            </w:r>
          </w:p>
        </w:tc>
        <w:tc>
          <w:tcPr>
            <w:tcW w:w="0" w:type="auto"/>
            <w:tcBorders>
              <w:top w:val="nil"/>
              <w:left w:val="nil"/>
              <w:bottom w:val="nil"/>
              <w:right w:val="nil"/>
            </w:tcBorders>
            <w:shd w:val="clear" w:color="auto" w:fill="auto"/>
            <w:noWrap/>
            <w:vAlign w:val="center"/>
          </w:tcPr>
          <w:p w14:paraId="7A2BE85A" w14:textId="77777777" w:rsidR="0065555D" w:rsidRPr="005D584E" w:rsidRDefault="0065555D" w:rsidP="00FB3903">
            <w:pPr>
              <w:spacing w:line="240" w:lineRule="auto"/>
              <w:jc w:val="center"/>
              <w:rPr>
                <w:sz w:val="20"/>
                <w:szCs w:val="20"/>
              </w:rPr>
            </w:pPr>
            <w:r w:rsidRPr="005D584E">
              <w:rPr>
                <w:sz w:val="20"/>
                <w:szCs w:val="20"/>
              </w:rPr>
              <w:t>2,803</w:t>
            </w:r>
          </w:p>
        </w:tc>
        <w:tc>
          <w:tcPr>
            <w:tcW w:w="0" w:type="auto"/>
            <w:tcBorders>
              <w:top w:val="nil"/>
              <w:left w:val="nil"/>
              <w:bottom w:val="nil"/>
              <w:right w:val="nil"/>
            </w:tcBorders>
            <w:shd w:val="clear" w:color="auto" w:fill="auto"/>
            <w:noWrap/>
            <w:vAlign w:val="center"/>
          </w:tcPr>
          <w:p w14:paraId="017DBA1D" w14:textId="77777777" w:rsidR="0065555D" w:rsidRPr="005D584E" w:rsidRDefault="0065555D" w:rsidP="00FB3903">
            <w:pPr>
              <w:spacing w:line="240" w:lineRule="auto"/>
              <w:jc w:val="center"/>
              <w:rPr>
                <w:sz w:val="20"/>
                <w:szCs w:val="20"/>
              </w:rPr>
            </w:pPr>
            <w:r w:rsidRPr="005D584E">
              <w:rPr>
                <w:sz w:val="20"/>
                <w:szCs w:val="20"/>
              </w:rPr>
              <w:t>16.12</w:t>
            </w:r>
          </w:p>
        </w:tc>
        <w:tc>
          <w:tcPr>
            <w:tcW w:w="0" w:type="auto"/>
            <w:tcBorders>
              <w:top w:val="nil"/>
              <w:left w:val="nil"/>
              <w:bottom w:val="nil"/>
              <w:right w:val="nil"/>
            </w:tcBorders>
            <w:shd w:val="clear" w:color="auto" w:fill="auto"/>
            <w:noWrap/>
            <w:vAlign w:val="center"/>
          </w:tcPr>
          <w:p w14:paraId="4F598FEC" w14:textId="77777777" w:rsidR="0065555D" w:rsidRPr="005D584E" w:rsidRDefault="0065555D" w:rsidP="00FB3903">
            <w:pPr>
              <w:spacing w:line="240" w:lineRule="auto"/>
              <w:jc w:val="center"/>
              <w:rPr>
                <w:sz w:val="20"/>
                <w:szCs w:val="20"/>
              </w:rPr>
            </w:pPr>
            <w:r w:rsidRPr="005D584E">
              <w:rPr>
                <w:sz w:val="20"/>
                <w:szCs w:val="20"/>
              </w:rPr>
              <w:t>1.5139</w:t>
            </w:r>
          </w:p>
        </w:tc>
        <w:tc>
          <w:tcPr>
            <w:tcW w:w="0" w:type="auto"/>
            <w:tcBorders>
              <w:top w:val="nil"/>
              <w:left w:val="nil"/>
              <w:bottom w:val="nil"/>
              <w:right w:val="nil"/>
            </w:tcBorders>
            <w:vAlign w:val="center"/>
          </w:tcPr>
          <w:p w14:paraId="39F34314" w14:textId="77777777" w:rsidR="0065555D" w:rsidRPr="005D584E" w:rsidRDefault="0065555D" w:rsidP="00FB3903">
            <w:pPr>
              <w:spacing w:line="240" w:lineRule="auto"/>
              <w:jc w:val="center"/>
              <w:rPr>
                <w:sz w:val="20"/>
                <w:szCs w:val="20"/>
              </w:rPr>
            </w:pPr>
            <w:r w:rsidRPr="005D584E">
              <w:rPr>
                <w:sz w:val="20"/>
                <w:szCs w:val="20"/>
              </w:rPr>
              <w:t>42.25</w:t>
            </w:r>
          </w:p>
        </w:tc>
        <w:tc>
          <w:tcPr>
            <w:tcW w:w="0" w:type="auto"/>
            <w:tcBorders>
              <w:top w:val="nil"/>
              <w:left w:val="nil"/>
              <w:bottom w:val="nil"/>
              <w:right w:val="nil"/>
            </w:tcBorders>
            <w:vAlign w:val="center"/>
          </w:tcPr>
          <w:p w14:paraId="44611C40" w14:textId="77777777" w:rsidR="0065555D" w:rsidRPr="005D584E" w:rsidRDefault="0065555D" w:rsidP="00FB3903">
            <w:pPr>
              <w:spacing w:line="240" w:lineRule="auto"/>
              <w:jc w:val="center"/>
              <w:rPr>
                <w:sz w:val="20"/>
                <w:szCs w:val="20"/>
              </w:rPr>
            </w:pPr>
            <w:r w:rsidRPr="005D584E">
              <w:rPr>
                <w:sz w:val="20"/>
                <w:szCs w:val="20"/>
              </w:rPr>
              <w:t>0.64</w:t>
            </w:r>
          </w:p>
        </w:tc>
        <w:tc>
          <w:tcPr>
            <w:tcW w:w="0" w:type="auto"/>
            <w:tcBorders>
              <w:top w:val="nil"/>
              <w:left w:val="nil"/>
              <w:bottom w:val="nil"/>
              <w:right w:val="nil"/>
            </w:tcBorders>
            <w:shd w:val="clear" w:color="auto" w:fill="auto"/>
            <w:noWrap/>
            <w:vAlign w:val="center"/>
          </w:tcPr>
          <w:p w14:paraId="5C858FC0" w14:textId="77777777" w:rsidR="0065555D" w:rsidRPr="005D584E" w:rsidRDefault="0065555D" w:rsidP="00FB3903">
            <w:pPr>
              <w:spacing w:line="240" w:lineRule="auto"/>
              <w:jc w:val="center"/>
              <w:rPr>
                <w:sz w:val="20"/>
                <w:szCs w:val="20"/>
              </w:rPr>
            </w:pPr>
            <w:r w:rsidRPr="005D584E">
              <w:rPr>
                <w:sz w:val="20"/>
                <w:szCs w:val="20"/>
              </w:rPr>
              <w:t>12.43</w:t>
            </w:r>
          </w:p>
        </w:tc>
        <w:tc>
          <w:tcPr>
            <w:tcW w:w="0" w:type="auto"/>
            <w:tcBorders>
              <w:top w:val="nil"/>
              <w:left w:val="nil"/>
              <w:bottom w:val="nil"/>
              <w:right w:val="nil"/>
            </w:tcBorders>
            <w:vAlign w:val="center"/>
          </w:tcPr>
          <w:p w14:paraId="0AE8A40D" w14:textId="77777777" w:rsidR="0065555D" w:rsidRPr="005D584E" w:rsidRDefault="0065555D" w:rsidP="00FB3903">
            <w:pPr>
              <w:spacing w:line="240" w:lineRule="auto"/>
              <w:jc w:val="center"/>
              <w:rPr>
                <w:sz w:val="20"/>
                <w:szCs w:val="20"/>
              </w:rPr>
            </w:pPr>
            <w:r w:rsidRPr="005D584E">
              <w:rPr>
                <w:sz w:val="20"/>
                <w:szCs w:val="20"/>
              </w:rPr>
              <w:t>6.38</w:t>
            </w:r>
          </w:p>
        </w:tc>
        <w:tc>
          <w:tcPr>
            <w:tcW w:w="0" w:type="auto"/>
            <w:tcBorders>
              <w:top w:val="nil"/>
              <w:left w:val="nil"/>
              <w:bottom w:val="nil"/>
              <w:right w:val="nil"/>
            </w:tcBorders>
            <w:shd w:val="clear" w:color="auto" w:fill="auto"/>
            <w:noWrap/>
            <w:vAlign w:val="center"/>
          </w:tcPr>
          <w:p w14:paraId="19EA3E66" w14:textId="77777777" w:rsidR="0065555D" w:rsidRPr="005D584E" w:rsidRDefault="0065555D" w:rsidP="00FB3903">
            <w:pPr>
              <w:spacing w:line="240" w:lineRule="auto"/>
              <w:jc w:val="center"/>
              <w:rPr>
                <w:sz w:val="20"/>
                <w:szCs w:val="20"/>
              </w:rPr>
            </w:pPr>
            <w:r w:rsidRPr="005D584E">
              <w:rPr>
                <w:sz w:val="20"/>
                <w:szCs w:val="20"/>
              </w:rPr>
              <w:t>0.70</w:t>
            </w:r>
          </w:p>
        </w:tc>
        <w:tc>
          <w:tcPr>
            <w:tcW w:w="0" w:type="auto"/>
            <w:tcBorders>
              <w:top w:val="nil"/>
              <w:left w:val="nil"/>
              <w:bottom w:val="nil"/>
              <w:right w:val="nil"/>
            </w:tcBorders>
            <w:shd w:val="clear" w:color="auto" w:fill="auto"/>
            <w:noWrap/>
            <w:vAlign w:val="center"/>
          </w:tcPr>
          <w:p w14:paraId="4A6880F5" w14:textId="77777777" w:rsidR="0065555D" w:rsidRPr="005D584E" w:rsidRDefault="0065555D" w:rsidP="00FB3903">
            <w:pPr>
              <w:spacing w:line="240" w:lineRule="auto"/>
              <w:jc w:val="center"/>
              <w:rPr>
                <w:sz w:val="20"/>
                <w:szCs w:val="20"/>
              </w:rPr>
            </w:pPr>
            <w:r w:rsidRPr="005D584E">
              <w:rPr>
                <w:sz w:val="20"/>
                <w:szCs w:val="20"/>
              </w:rPr>
              <w:t>0.0755</w:t>
            </w:r>
          </w:p>
        </w:tc>
        <w:tc>
          <w:tcPr>
            <w:tcW w:w="0" w:type="auto"/>
            <w:tcBorders>
              <w:top w:val="nil"/>
              <w:left w:val="nil"/>
              <w:bottom w:val="nil"/>
              <w:right w:val="nil"/>
            </w:tcBorders>
            <w:shd w:val="clear" w:color="auto" w:fill="auto"/>
            <w:noWrap/>
            <w:vAlign w:val="center"/>
          </w:tcPr>
          <w:p w14:paraId="26280FCC" w14:textId="77777777" w:rsidR="0065555D" w:rsidRPr="005D584E" w:rsidRDefault="0065555D" w:rsidP="00FB3903">
            <w:pPr>
              <w:spacing w:line="240" w:lineRule="auto"/>
              <w:jc w:val="center"/>
              <w:rPr>
                <w:sz w:val="20"/>
                <w:szCs w:val="20"/>
              </w:rPr>
            </w:pPr>
            <w:r w:rsidRPr="005D584E">
              <w:rPr>
                <w:sz w:val="20"/>
                <w:szCs w:val="20"/>
              </w:rPr>
              <w:t>0.15</w:t>
            </w:r>
          </w:p>
        </w:tc>
        <w:tc>
          <w:tcPr>
            <w:tcW w:w="0" w:type="auto"/>
            <w:tcBorders>
              <w:top w:val="nil"/>
              <w:left w:val="nil"/>
              <w:bottom w:val="nil"/>
              <w:right w:val="nil"/>
            </w:tcBorders>
            <w:shd w:val="clear" w:color="auto" w:fill="auto"/>
            <w:noWrap/>
            <w:vAlign w:val="center"/>
          </w:tcPr>
          <w:p w14:paraId="69F2C1F3" w14:textId="77777777" w:rsidR="0065555D" w:rsidRPr="005D584E" w:rsidRDefault="0065555D" w:rsidP="00FB3903">
            <w:pPr>
              <w:spacing w:line="240" w:lineRule="auto"/>
              <w:jc w:val="center"/>
              <w:rPr>
                <w:sz w:val="20"/>
                <w:szCs w:val="20"/>
              </w:rPr>
            </w:pPr>
            <w:r w:rsidRPr="005D584E">
              <w:rPr>
                <w:sz w:val="20"/>
                <w:szCs w:val="20"/>
              </w:rPr>
              <w:t>96.82</w:t>
            </w:r>
          </w:p>
        </w:tc>
        <w:tc>
          <w:tcPr>
            <w:tcW w:w="0" w:type="auto"/>
            <w:tcBorders>
              <w:top w:val="nil"/>
              <w:left w:val="nil"/>
              <w:bottom w:val="nil"/>
              <w:right w:val="nil"/>
            </w:tcBorders>
            <w:shd w:val="clear" w:color="auto" w:fill="auto"/>
            <w:noWrap/>
            <w:vAlign w:val="center"/>
          </w:tcPr>
          <w:p w14:paraId="21077400" w14:textId="77777777" w:rsidR="0065555D" w:rsidRPr="005D584E" w:rsidRDefault="0065555D" w:rsidP="00FB3903">
            <w:pPr>
              <w:spacing w:line="240" w:lineRule="auto"/>
              <w:jc w:val="center"/>
              <w:rPr>
                <w:sz w:val="20"/>
                <w:szCs w:val="20"/>
              </w:rPr>
            </w:pPr>
            <w:r w:rsidRPr="005D584E">
              <w:rPr>
                <w:sz w:val="20"/>
                <w:szCs w:val="20"/>
              </w:rPr>
              <w:t>19.40</w:t>
            </w:r>
          </w:p>
        </w:tc>
        <w:tc>
          <w:tcPr>
            <w:tcW w:w="0" w:type="auto"/>
            <w:tcBorders>
              <w:top w:val="nil"/>
              <w:left w:val="nil"/>
              <w:bottom w:val="nil"/>
              <w:right w:val="nil"/>
            </w:tcBorders>
            <w:shd w:val="clear" w:color="auto" w:fill="auto"/>
            <w:noWrap/>
            <w:vAlign w:val="center"/>
          </w:tcPr>
          <w:p w14:paraId="35F9ECFB" w14:textId="77777777" w:rsidR="0065555D" w:rsidRPr="005D584E" w:rsidRDefault="0065555D" w:rsidP="00FB3903">
            <w:pPr>
              <w:spacing w:line="240" w:lineRule="auto"/>
              <w:jc w:val="center"/>
              <w:rPr>
                <w:sz w:val="20"/>
                <w:szCs w:val="20"/>
              </w:rPr>
            </w:pPr>
            <w:r w:rsidRPr="005D584E">
              <w:rPr>
                <w:sz w:val="20"/>
                <w:szCs w:val="20"/>
              </w:rPr>
              <w:t>9.95</w:t>
            </w:r>
          </w:p>
        </w:tc>
      </w:tr>
      <w:tr w:rsidR="0065555D" w:rsidRPr="005D584E" w14:paraId="72A3987C" w14:textId="77777777" w:rsidTr="007049D5">
        <w:trPr>
          <w:trHeight w:val="264"/>
          <w:jc w:val="center"/>
        </w:trPr>
        <w:tc>
          <w:tcPr>
            <w:tcW w:w="0" w:type="auto"/>
            <w:tcBorders>
              <w:top w:val="nil"/>
              <w:left w:val="nil"/>
              <w:right w:val="nil"/>
            </w:tcBorders>
            <w:shd w:val="clear" w:color="auto" w:fill="auto"/>
            <w:noWrap/>
            <w:vAlign w:val="center"/>
            <w:hideMark/>
          </w:tcPr>
          <w:p w14:paraId="720A8448" w14:textId="77777777" w:rsidR="0065555D" w:rsidRPr="005D584E" w:rsidRDefault="0065555D" w:rsidP="00FB3903">
            <w:pPr>
              <w:spacing w:after="0" w:line="240" w:lineRule="auto"/>
              <w:jc w:val="center"/>
              <w:rPr>
                <w:rFonts w:eastAsia="Times New Roman" w:cs="Times New Roman"/>
                <w:sz w:val="20"/>
                <w:szCs w:val="20"/>
              </w:rPr>
            </w:pPr>
            <w:r w:rsidRPr="005D584E">
              <w:rPr>
                <w:rFonts w:eastAsia="Times New Roman" w:cs="Times New Roman"/>
                <w:sz w:val="20"/>
                <w:szCs w:val="20"/>
              </w:rPr>
              <w:t>5</w:t>
            </w:r>
          </w:p>
        </w:tc>
        <w:tc>
          <w:tcPr>
            <w:tcW w:w="0" w:type="auto"/>
            <w:tcBorders>
              <w:top w:val="nil"/>
              <w:left w:val="nil"/>
              <w:right w:val="nil"/>
            </w:tcBorders>
            <w:vAlign w:val="center"/>
          </w:tcPr>
          <w:p w14:paraId="1881AB2E" w14:textId="77777777" w:rsidR="0065555D" w:rsidRPr="005D584E" w:rsidRDefault="0065555D" w:rsidP="00FB3903">
            <w:pPr>
              <w:spacing w:line="240" w:lineRule="auto"/>
              <w:jc w:val="center"/>
              <w:rPr>
                <w:sz w:val="20"/>
                <w:szCs w:val="20"/>
              </w:rPr>
            </w:pPr>
            <w:r w:rsidRPr="005D584E">
              <w:rPr>
                <w:sz w:val="20"/>
                <w:szCs w:val="20"/>
              </w:rPr>
              <w:t>48.89</w:t>
            </w:r>
          </w:p>
        </w:tc>
        <w:tc>
          <w:tcPr>
            <w:tcW w:w="0" w:type="auto"/>
            <w:tcBorders>
              <w:top w:val="nil"/>
              <w:left w:val="nil"/>
              <w:right w:val="nil"/>
            </w:tcBorders>
            <w:shd w:val="clear" w:color="auto" w:fill="auto"/>
            <w:noWrap/>
            <w:vAlign w:val="center"/>
          </w:tcPr>
          <w:p w14:paraId="4190C247" w14:textId="77777777" w:rsidR="0065555D" w:rsidRPr="005D584E" w:rsidRDefault="0065555D" w:rsidP="00FB3903">
            <w:pPr>
              <w:spacing w:line="240" w:lineRule="auto"/>
              <w:jc w:val="center"/>
              <w:rPr>
                <w:sz w:val="20"/>
                <w:szCs w:val="20"/>
              </w:rPr>
            </w:pPr>
            <w:r w:rsidRPr="005D584E">
              <w:rPr>
                <w:sz w:val="20"/>
                <w:szCs w:val="20"/>
              </w:rPr>
              <w:t>2,802</w:t>
            </w:r>
          </w:p>
        </w:tc>
        <w:tc>
          <w:tcPr>
            <w:tcW w:w="0" w:type="auto"/>
            <w:tcBorders>
              <w:top w:val="nil"/>
              <w:left w:val="nil"/>
              <w:right w:val="nil"/>
            </w:tcBorders>
            <w:shd w:val="clear" w:color="auto" w:fill="auto"/>
            <w:noWrap/>
            <w:vAlign w:val="center"/>
          </w:tcPr>
          <w:p w14:paraId="6979EAF8" w14:textId="77777777" w:rsidR="0065555D" w:rsidRPr="005D584E" w:rsidRDefault="0065555D" w:rsidP="00FB3903">
            <w:pPr>
              <w:spacing w:line="240" w:lineRule="auto"/>
              <w:jc w:val="center"/>
              <w:rPr>
                <w:sz w:val="20"/>
                <w:szCs w:val="20"/>
              </w:rPr>
            </w:pPr>
            <w:r w:rsidRPr="005D584E">
              <w:rPr>
                <w:sz w:val="20"/>
                <w:szCs w:val="20"/>
              </w:rPr>
              <w:t>16.11</w:t>
            </w:r>
          </w:p>
        </w:tc>
        <w:tc>
          <w:tcPr>
            <w:tcW w:w="0" w:type="auto"/>
            <w:tcBorders>
              <w:top w:val="nil"/>
              <w:left w:val="nil"/>
              <w:right w:val="nil"/>
            </w:tcBorders>
            <w:shd w:val="clear" w:color="auto" w:fill="auto"/>
            <w:noWrap/>
            <w:vAlign w:val="center"/>
          </w:tcPr>
          <w:p w14:paraId="05380962" w14:textId="77777777" w:rsidR="0065555D" w:rsidRPr="005D584E" w:rsidRDefault="0065555D" w:rsidP="00FB3903">
            <w:pPr>
              <w:spacing w:line="240" w:lineRule="auto"/>
              <w:jc w:val="center"/>
              <w:rPr>
                <w:sz w:val="20"/>
                <w:szCs w:val="20"/>
              </w:rPr>
            </w:pPr>
            <w:r w:rsidRPr="005D584E">
              <w:rPr>
                <w:sz w:val="20"/>
                <w:szCs w:val="20"/>
              </w:rPr>
              <w:t>1.5075</w:t>
            </w:r>
          </w:p>
        </w:tc>
        <w:tc>
          <w:tcPr>
            <w:tcW w:w="0" w:type="auto"/>
            <w:tcBorders>
              <w:top w:val="nil"/>
              <w:left w:val="nil"/>
              <w:right w:val="nil"/>
            </w:tcBorders>
            <w:vAlign w:val="center"/>
          </w:tcPr>
          <w:p w14:paraId="51CCAD8C" w14:textId="77777777" w:rsidR="0065555D" w:rsidRPr="005D584E" w:rsidRDefault="0065555D" w:rsidP="00FB3903">
            <w:pPr>
              <w:spacing w:line="240" w:lineRule="auto"/>
              <w:jc w:val="center"/>
              <w:rPr>
                <w:sz w:val="20"/>
                <w:szCs w:val="20"/>
              </w:rPr>
            </w:pPr>
            <w:r w:rsidRPr="005D584E">
              <w:rPr>
                <w:sz w:val="20"/>
                <w:szCs w:val="20"/>
              </w:rPr>
              <w:t>64.37</w:t>
            </w:r>
          </w:p>
        </w:tc>
        <w:tc>
          <w:tcPr>
            <w:tcW w:w="0" w:type="auto"/>
            <w:tcBorders>
              <w:top w:val="nil"/>
              <w:left w:val="nil"/>
              <w:right w:val="nil"/>
            </w:tcBorders>
            <w:vAlign w:val="center"/>
          </w:tcPr>
          <w:p w14:paraId="342AAF7F" w14:textId="77777777" w:rsidR="0065555D" w:rsidRPr="005D584E" w:rsidRDefault="0065555D" w:rsidP="00FB3903">
            <w:pPr>
              <w:spacing w:line="240" w:lineRule="auto"/>
              <w:jc w:val="center"/>
              <w:rPr>
                <w:sz w:val="20"/>
                <w:szCs w:val="20"/>
              </w:rPr>
            </w:pPr>
            <w:r w:rsidRPr="005D584E">
              <w:rPr>
                <w:sz w:val="20"/>
                <w:szCs w:val="20"/>
              </w:rPr>
              <w:t>0.47</w:t>
            </w:r>
          </w:p>
        </w:tc>
        <w:tc>
          <w:tcPr>
            <w:tcW w:w="0" w:type="auto"/>
            <w:tcBorders>
              <w:top w:val="nil"/>
              <w:left w:val="nil"/>
              <w:right w:val="nil"/>
            </w:tcBorders>
            <w:shd w:val="clear" w:color="auto" w:fill="auto"/>
            <w:noWrap/>
            <w:vAlign w:val="center"/>
          </w:tcPr>
          <w:p w14:paraId="649B7A98" w14:textId="77777777" w:rsidR="0065555D" w:rsidRPr="005D584E" w:rsidRDefault="0065555D" w:rsidP="00FB3903">
            <w:pPr>
              <w:spacing w:line="240" w:lineRule="auto"/>
              <w:jc w:val="center"/>
              <w:rPr>
                <w:sz w:val="20"/>
                <w:szCs w:val="20"/>
              </w:rPr>
            </w:pPr>
            <w:r w:rsidRPr="005D584E">
              <w:rPr>
                <w:sz w:val="20"/>
                <w:szCs w:val="20"/>
              </w:rPr>
              <w:t>10.05</w:t>
            </w:r>
          </w:p>
        </w:tc>
        <w:tc>
          <w:tcPr>
            <w:tcW w:w="0" w:type="auto"/>
            <w:tcBorders>
              <w:top w:val="nil"/>
              <w:left w:val="nil"/>
              <w:right w:val="nil"/>
            </w:tcBorders>
            <w:vAlign w:val="center"/>
          </w:tcPr>
          <w:p w14:paraId="3BBB02CB" w14:textId="77777777" w:rsidR="0065555D" w:rsidRPr="005D584E" w:rsidRDefault="0065555D" w:rsidP="00FB3903">
            <w:pPr>
              <w:spacing w:line="240" w:lineRule="auto"/>
              <w:jc w:val="center"/>
              <w:rPr>
                <w:sz w:val="20"/>
                <w:szCs w:val="20"/>
              </w:rPr>
            </w:pPr>
            <w:r w:rsidRPr="005D584E">
              <w:rPr>
                <w:sz w:val="20"/>
                <w:szCs w:val="20"/>
              </w:rPr>
              <w:t>5.15</w:t>
            </w:r>
          </w:p>
        </w:tc>
        <w:tc>
          <w:tcPr>
            <w:tcW w:w="0" w:type="auto"/>
            <w:tcBorders>
              <w:top w:val="nil"/>
              <w:left w:val="nil"/>
              <w:right w:val="nil"/>
            </w:tcBorders>
            <w:shd w:val="clear" w:color="auto" w:fill="auto"/>
            <w:noWrap/>
            <w:vAlign w:val="center"/>
          </w:tcPr>
          <w:p w14:paraId="1066FCF7" w14:textId="77777777" w:rsidR="0065555D" w:rsidRPr="005D584E" w:rsidRDefault="0065555D" w:rsidP="00FB3903">
            <w:pPr>
              <w:spacing w:line="240" w:lineRule="auto"/>
              <w:jc w:val="center"/>
              <w:rPr>
                <w:sz w:val="20"/>
                <w:szCs w:val="20"/>
              </w:rPr>
            </w:pPr>
            <w:r w:rsidRPr="005D584E">
              <w:rPr>
                <w:sz w:val="20"/>
                <w:szCs w:val="20"/>
              </w:rPr>
              <w:t>0.70</w:t>
            </w:r>
          </w:p>
        </w:tc>
        <w:tc>
          <w:tcPr>
            <w:tcW w:w="0" w:type="auto"/>
            <w:tcBorders>
              <w:top w:val="nil"/>
              <w:left w:val="nil"/>
              <w:right w:val="nil"/>
            </w:tcBorders>
            <w:shd w:val="clear" w:color="auto" w:fill="auto"/>
            <w:noWrap/>
            <w:vAlign w:val="center"/>
          </w:tcPr>
          <w:p w14:paraId="5A0353B0" w14:textId="77777777" w:rsidR="0065555D" w:rsidRPr="005D584E" w:rsidRDefault="0065555D" w:rsidP="00FB3903">
            <w:pPr>
              <w:spacing w:line="240" w:lineRule="auto"/>
              <w:jc w:val="center"/>
              <w:rPr>
                <w:sz w:val="20"/>
                <w:szCs w:val="20"/>
              </w:rPr>
            </w:pPr>
            <w:r w:rsidRPr="005D584E">
              <w:rPr>
                <w:sz w:val="20"/>
                <w:szCs w:val="20"/>
              </w:rPr>
              <w:t>0.0745</w:t>
            </w:r>
          </w:p>
        </w:tc>
        <w:tc>
          <w:tcPr>
            <w:tcW w:w="0" w:type="auto"/>
            <w:tcBorders>
              <w:top w:val="nil"/>
              <w:left w:val="nil"/>
              <w:right w:val="nil"/>
            </w:tcBorders>
            <w:shd w:val="clear" w:color="auto" w:fill="auto"/>
            <w:noWrap/>
            <w:vAlign w:val="center"/>
          </w:tcPr>
          <w:p w14:paraId="4CAE7D79" w14:textId="77777777" w:rsidR="0065555D" w:rsidRPr="005D584E" w:rsidRDefault="0065555D" w:rsidP="00FB3903">
            <w:pPr>
              <w:spacing w:line="240" w:lineRule="auto"/>
              <w:jc w:val="center"/>
              <w:rPr>
                <w:sz w:val="20"/>
                <w:szCs w:val="20"/>
              </w:rPr>
            </w:pPr>
            <w:r w:rsidRPr="005D584E">
              <w:rPr>
                <w:sz w:val="20"/>
                <w:szCs w:val="20"/>
              </w:rPr>
              <w:t>0.16</w:t>
            </w:r>
          </w:p>
        </w:tc>
        <w:tc>
          <w:tcPr>
            <w:tcW w:w="0" w:type="auto"/>
            <w:tcBorders>
              <w:top w:val="nil"/>
              <w:left w:val="nil"/>
              <w:right w:val="nil"/>
            </w:tcBorders>
            <w:shd w:val="clear" w:color="auto" w:fill="auto"/>
            <w:noWrap/>
            <w:vAlign w:val="center"/>
          </w:tcPr>
          <w:p w14:paraId="5D10726E" w14:textId="77777777" w:rsidR="0065555D" w:rsidRPr="005D584E" w:rsidRDefault="0065555D" w:rsidP="00FB3903">
            <w:pPr>
              <w:spacing w:line="240" w:lineRule="auto"/>
              <w:jc w:val="center"/>
              <w:rPr>
                <w:sz w:val="20"/>
                <w:szCs w:val="20"/>
              </w:rPr>
            </w:pPr>
            <w:r w:rsidRPr="005D584E">
              <w:rPr>
                <w:sz w:val="20"/>
                <w:szCs w:val="20"/>
              </w:rPr>
              <w:t>98.30</w:t>
            </w:r>
          </w:p>
        </w:tc>
        <w:tc>
          <w:tcPr>
            <w:tcW w:w="0" w:type="auto"/>
            <w:tcBorders>
              <w:top w:val="nil"/>
              <w:left w:val="nil"/>
              <w:right w:val="nil"/>
            </w:tcBorders>
            <w:shd w:val="clear" w:color="auto" w:fill="auto"/>
            <w:noWrap/>
            <w:vAlign w:val="center"/>
          </w:tcPr>
          <w:p w14:paraId="5B02E03E" w14:textId="77777777" w:rsidR="0065555D" w:rsidRPr="005D584E" w:rsidRDefault="0065555D" w:rsidP="00FB3903">
            <w:pPr>
              <w:spacing w:line="240" w:lineRule="auto"/>
              <w:jc w:val="center"/>
              <w:rPr>
                <w:sz w:val="20"/>
                <w:szCs w:val="20"/>
              </w:rPr>
            </w:pPr>
            <w:r w:rsidRPr="005D584E">
              <w:rPr>
                <w:sz w:val="20"/>
                <w:szCs w:val="20"/>
              </w:rPr>
              <w:t>17.56</w:t>
            </w:r>
          </w:p>
        </w:tc>
        <w:tc>
          <w:tcPr>
            <w:tcW w:w="0" w:type="auto"/>
            <w:tcBorders>
              <w:top w:val="nil"/>
              <w:left w:val="nil"/>
              <w:right w:val="nil"/>
            </w:tcBorders>
            <w:shd w:val="clear" w:color="auto" w:fill="auto"/>
            <w:noWrap/>
            <w:vAlign w:val="center"/>
          </w:tcPr>
          <w:p w14:paraId="18619526" w14:textId="77777777" w:rsidR="0065555D" w:rsidRPr="005D584E" w:rsidRDefault="0065555D" w:rsidP="00FB3903">
            <w:pPr>
              <w:spacing w:line="240" w:lineRule="auto"/>
              <w:jc w:val="center"/>
              <w:rPr>
                <w:sz w:val="20"/>
                <w:szCs w:val="20"/>
              </w:rPr>
            </w:pPr>
            <w:r w:rsidRPr="005D584E">
              <w:rPr>
                <w:sz w:val="20"/>
                <w:szCs w:val="20"/>
              </w:rPr>
              <w:t>9.98</w:t>
            </w:r>
          </w:p>
        </w:tc>
      </w:tr>
      <w:tr w:rsidR="0065555D" w:rsidRPr="005D584E" w14:paraId="027D65D3" w14:textId="77777777" w:rsidTr="007049D5">
        <w:trPr>
          <w:trHeight w:val="264"/>
          <w:jc w:val="center"/>
        </w:trPr>
        <w:tc>
          <w:tcPr>
            <w:tcW w:w="0" w:type="auto"/>
            <w:tcBorders>
              <w:top w:val="nil"/>
              <w:left w:val="nil"/>
              <w:bottom w:val="single" w:sz="4" w:space="0" w:color="auto"/>
              <w:right w:val="nil"/>
            </w:tcBorders>
            <w:shd w:val="clear" w:color="auto" w:fill="auto"/>
            <w:noWrap/>
            <w:vAlign w:val="center"/>
            <w:hideMark/>
          </w:tcPr>
          <w:p w14:paraId="091DCA68" w14:textId="77777777" w:rsidR="0065555D" w:rsidRPr="005D584E" w:rsidRDefault="0065555D" w:rsidP="00FB3903">
            <w:pPr>
              <w:spacing w:after="0" w:line="240" w:lineRule="auto"/>
              <w:jc w:val="center"/>
              <w:rPr>
                <w:rFonts w:eastAsia="Times New Roman" w:cs="Times New Roman"/>
                <w:sz w:val="20"/>
                <w:szCs w:val="20"/>
              </w:rPr>
            </w:pPr>
            <w:r w:rsidRPr="005D584E">
              <w:rPr>
                <w:rFonts w:eastAsia="Times New Roman" w:cs="Times New Roman"/>
                <w:sz w:val="20"/>
                <w:szCs w:val="20"/>
              </w:rPr>
              <w:t>6</w:t>
            </w:r>
          </w:p>
        </w:tc>
        <w:tc>
          <w:tcPr>
            <w:tcW w:w="0" w:type="auto"/>
            <w:tcBorders>
              <w:top w:val="nil"/>
              <w:left w:val="nil"/>
              <w:bottom w:val="single" w:sz="4" w:space="0" w:color="auto"/>
              <w:right w:val="nil"/>
            </w:tcBorders>
            <w:vAlign w:val="center"/>
          </w:tcPr>
          <w:p w14:paraId="56EAA6E9" w14:textId="77777777" w:rsidR="0065555D" w:rsidRPr="005D584E" w:rsidRDefault="0065555D" w:rsidP="00FB3903">
            <w:pPr>
              <w:spacing w:line="240" w:lineRule="auto"/>
              <w:jc w:val="center"/>
              <w:rPr>
                <w:sz w:val="20"/>
                <w:szCs w:val="20"/>
              </w:rPr>
            </w:pPr>
            <w:r w:rsidRPr="005D584E">
              <w:rPr>
                <w:sz w:val="20"/>
                <w:szCs w:val="20"/>
              </w:rPr>
              <w:t>100.00</w:t>
            </w:r>
          </w:p>
        </w:tc>
        <w:tc>
          <w:tcPr>
            <w:tcW w:w="0" w:type="auto"/>
            <w:tcBorders>
              <w:top w:val="nil"/>
              <w:left w:val="nil"/>
              <w:bottom w:val="single" w:sz="4" w:space="0" w:color="auto"/>
              <w:right w:val="nil"/>
            </w:tcBorders>
            <w:shd w:val="clear" w:color="auto" w:fill="auto"/>
            <w:noWrap/>
            <w:vAlign w:val="center"/>
          </w:tcPr>
          <w:p w14:paraId="03121C27" w14:textId="77777777" w:rsidR="0065555D" w:rsidRPr="005D584E" w:rsidRDefault="0065555D" w:rsidP="00FB3903">
            <w:pPr>
              <w:spacing w:line="240" w:lineRule="auto"/>
              <w:jc w:val="center"/>
              <w:rPr>
                <w:sz w:val="20"/>
                <w:szCs w:val="20"/>
              </w:rPr>
            </w:pPr>
            <w:r w:rsidRPr="005D584E">
              <w:rPr>
                <w:sz w:val="20"/>
                <w:szCs w:val="20"/>
              </w:rPr>
              <w:t>3,376</w:t>
            </w:r>
          </w:p>
        </w:tc>
        <w:tc>
          <w:tcPr>
            <w:tcW w:w="0" w:type="auto"/>
            <w:tcBorders>
              <w:top w:val="nil"/>
              <w:left w:val="nil"/>
              <w:bottom w:val="single" w:sz="4" w:space="0" w:color="auto"/>
              <w:right w:val="nil"/>
            </w:tcBorders>
            <w:shd w:val="clear" w:color="auto" w:fill="auto"/>
            <w:noWrap/>
            <w:vAlign w:val="center"/>
          </w:tcPr>
          <w:p w14:paraId="68CEC009" w14:textId="77777777" w:rsidR="0065555D" w:rsidRPr="005D584E" w:rsidRDefault="0065555D" w:rsidP="00FB3903">
            <w:pPr>
              <w:spacing w:line="240" w:lineRule="auto"/>
              <w:jc w:val="center"/>
              <w:rPr>
                <w:sz w:val="20"/>
                <w:szCs w:val="20"/>
              </w:rPr>
            </w:pPr>
            <w:r w:rsidRPr="005D584E">
              <w:rPr>
                <w:sz w:val="20"/>
                <w:szCs w:val="20"/>
              </w:rPr>
              <w:t>19.41</w:t>
            </w:r>
          </w:p>
        </w:tc>
        <w:tc>
          <w:tcPr>
            <w:tcW w:w="0" w:type="auto"/>
            <w:tcBorders>
              <w:top w:val="nil"/>
              <w:left w:val="nil"/>
              <w:bottom w:val="single" w:sz="4" w:space="0" w:color="auto"/>
              <w:right w:val="nil"/>
            </w:tcBorders>
            <w:shd w:val="clear" w:color="auto" w:fill="auto"/>
            <w:noWrap/>
            <w:vAlign w:val="center"/>
          </w:tcPr>
          <w:p w14:paraId="5EA9F821" w14:textId="77777777" w:rsidR="0065555D" w:rsidRPr="005D584E" w:rsidRDefault="0065555D" w:rsidP="00FB3903">
            <w:pPr>
              <w:spacing w:line="240" w:lineRule="auto"/>
              <w:jc w:val="center"/>
              <w:rPr>
                <w:sz w:val="20"/>
                <w:szCs w:val="20"/>
              </w:rPr>
            </w:pPr>
            <w:r w:rsidRPr="005D584E">
              <w:rPr>
                <w:sz w:val="20"/>
                <w:szCs w:val="20"/>
              </w:rPr>
              <w:t>1.5054</w:t>
            </w:r>
          </w:p>
        </w:tc>
        <w:tc>
          <w:tcPr>
            <w:tcW w:w="0" w:type="auto"/>
            <w:tcBorders>
              <w:top w:val="nil"/>
              <w:left w:val="nil"/>
              <w:bottom w:val="single" w:sz="4" w:space="0" w:color="auto"/>
              <w:right w:val="nil"/>
            </w:tcBorders>
            <w:vAlign w:val="center"/>
          </w:tcPr>
          <w:p w14:paraId="39A0F92F" w14:textId="77777777" w:rsidR="0065555D" w:rsidRPr="005D584E" w:rsidRDefault="0065555D" w:rsidP="00FB3903">
            <w:pPr>
              <w:spacing w:line="240" w:lineRule="auto"/>
              <w:jc w:val="center"/>
              <w:rPr>
                <w:sz w:val="20"/>
                <w:szCs w:val="20"/>
              </w:rPr>
            </w:pPr>
            <w:r w:rsidRPr="005D584E">
              <w:rPr>
                <w:sz w:val="20"/>
                <w:szCs w:val="20"/>
              </w:rPr>
              <w:t>100.00</w:t>
            </w:r>
          </w:p>
        </w:tc>
        <w:tc>
          <w:tcPr>
            <w:tcW w:w="0" w:type="auto"/>
            <w:tcBorders>
              <w:top w:val="nil"/>
              <w:left w:val="nil"/>
              <w:bottom w:val="single" w:sz="4" w:space="0" w:color="auto"/>
              <w:right w:val="nil"/>
            </w:tcBorders>
            <w:vAlign w:val="center"/>
          </w:tcPr>
          <w:p w14:paraId="6F8448D4" w14:textId="77777777" w:rsidR="0065555D" w:rsidRPr="005D584E" w:rsidRDefault="0065555D" w:rsidP="00FB3903">
            <w:pPr>
              <w:spacing w:line="240" w:lineRule="auto"/>
              <w:jc w:val="center"/>
              <w:rPr>
                <w:sz w:val="20"/>
                <w:szCs w:val="20"/>
              </w:rPr>
            </w:pPr>
            <w:r w:rsidRPr="005D584E">
              <w:rPr>
                <w:sz w:val="20"/>
                <w:szCs w:val="20"/>
              </w:rPr>
              <w:t>0.23</w:t>
            </w:r>
          </w:p>
        </w:tc>
        <w:tc>
          <w:tcPr>
            <w:tcW w:w="0" w:type="auto"/>
            <w:tcBorders>
              <w:top w:val="nil"/>
              <w:left w:val="nil"/>
              <w:bottom w:val="single" w:sz="4" w:space="0" w:color="auto"/>
              <w:right w:val="nil"/>
            </w:tcBorders>
            <w:shd w:val="clear" w:color="auto" w:fill="auto"/>
            <w:noWrap/>
            <w:vAlign w:val="center"/>
          </w:tcPr>
          <w:p w14:paraId="40EAD52B" w14:textId="77777777" w:rsidR="0065555D" w:rsidRPr="005D584E" w:rsidRDefault="0065555D" w:rsidP="00FB3903">
            <w:pPr>
              <w:spacing w:line="240" w:lineRule="auto"/>
              <w:jc w:val="center"/>
              <w:rPr>
                <w:sz w:val="20"/>
                <w:szCs w:val="20"/>
              </w:rPr>
            </w:pPr>
            <w:r w:rsidRPr="005D584E">
              <w:rPr>
                <w:sz w:val="20"/>
                <w:szCs w:val="20"/>
              </w:rPr>
              <w:t>6.31</w:t>
            </w:r>
          </w:p>
        </w:tc>
        <w:tc>
          <w:tcPr>
            <w:tcW w:w="0" w:type="auto"/>
            <w:tcBorders>
              <w:top w:val="nil"/>
              <w:left w:val="nil"/>
              <w:bottom w:val="single" w:sz="4" w:space="0" w:color="auto"/>
              <w:right w:val="nil"/>
            </w:tcBorders>
            <w:vAlign w:val="center"/>
          </w:tcPr>
          <w:p w14:paraId="0C0098AF" w14:textId="77777777" w:rsidR="0065555D" w:rsidRPr="005D584E" w:rsidRDefault="0065555D" w:rsidP="00FB3903">
            <w:pPr>
              <w:spacing w:line="240" w:lineRule="auto"/>
              <w:jc w:val="center"/>
              <w:rPr>
                <w:sz w:val="20"/>
                <w:szCs w:val="20"/>
              </w:rPr>
            </w:pPr>
            <w:r w:rsidRPr="005D584E">
              <w:rPr>
                <w:sz w:val="20"/>
                <w:szCs w:val="20"/>
              </w:rPr>
              <w:t>3.24</w:t>
            </w:r>
          </w:p>
        </w:tc>
        <w:tc>
          <w:tcPr>
            <w:tcW w:w="0" w:type="auto"/>
            <w:tcBorders>
              <w:top w:val="nil"/>
              <w:left w:val="nil"/>
              <w:bottom w:val="single" w:sz="4" w:space="0" w:color="auto"/>
              <w:right w:val="nil"/>
            </w:tcBorders>
            <w:shd w:val="clear" w:color="auto" w:fill="auto"/>
            <w:noWrap/>
            <w:vAlign w:val="center"/>
          </w:tcPr>
          <w:p w14:paraId="0DEE1EAF" w14:textId="77777777" w:rsidR="0065555D" w:rsidRPr="005D584E" w:rsidRDefault="0065555D" w:rsidP="00FB3903">
            <w:pPr>
              <w:spacing w:line="240" w:lineRule="auto"/>
              <w:jc w:val="center"/>
              <w:rPr>
                <w:sz w:val="20"/>
                <w:szCs w:val="20"/>
              </w:rPr>
            </w:pPr>
            <w:r w:rsidRPr="005D584E">
              <w:rPr>
                <w:sz w:val="20"/>
                <w:szCs w:val="20"/>
              </w:rPr>
              <w:t>0.67</w:t>
            </w:r>
          </w:p>
        </w:tc>
        <w:tc>
          <w:tcPr>
            <w:tcW w:w="0" w:type="auto"/>
            <w:tcBorders>
              <w:top w:val="nil"/>
              <w:left w:val="nil"/>
              <w:bottom w:val="single" w:sz="4" w:space="0" w:color="auto"/>
              <w:right w:val="nil"/>
            </w:tcBorders>
            <w:shd w:val="clear" w:color="auto" w:fill="auto"/>
            <w:noWrap/>
            <w:vAlign w:val="center"/>
          </w:tcPr>
          <w:p w14:paraId="031BE064" w14:textId="77777777" w:rsidR="0065555D" w:rsidRPr="005D584E" w:rsidRDefault="0065555D" w:rsidP="00FB3903">
            <w:pPr>
              <w:spacing w:line="240" w:lineRule="auto"/>
              <w:jc w:val="center"/>
              <w:rPr>
                <w:sz w:val="20"/>
                <w:szCs w:val="20"/>
              </w:rPr>
            </w:pPr>
            <w:r w:rsidRPr="005D584E">
              <w:rPr>
                <w:sz w:val="20"/>
                <w:szCs w:val="20"/>
              </w:rPr>
              <w:t>0.0720</w:t>
            </w:r>
          </w:p>
        </w:tc>
        <w:tc>
          <w:tcPr>
            <w:tcW w:w="0" w:type="auto"/>
            <w:tcBorders>
              <w:top w:val="nil"/>
              <w:left w:val="nil"/>
              <w:bottom w:val="single" w:sz="4" w:space="0" w:color="auto"/>
              <w:right w:val="nil"/>
            </w:tcBorders>
            <w:shd w:val="clear" w:color="auto" w:fill="auto"/>
            <w:noWrap/>
            <w:vAlign w:val="center"/>
          </w:tcPr>
          <w:p w14:paraId="5F7C145F" w14:textId="77777777" w:rsidR="0065555D" w:rsidRPr="005D584E" w:rsidRDefault="0065555D" w:rsidP="00FB3903">
            <w:pPr>
              <w:spacing w:line="240" w:lineRule="auto"/>
              <w:jc w:val="center"/>
              <w:rPr>
                <w:sz w:val="20"/>
                <w:szCs w:val="20"/>
              </w:rPr>
            </w:pPr>
            <w:r w:rsidRPr="005D584E">
              <w:rPr>
                <w:sz w:val="20"/>
                <w:szCs w:val="20"/>
              </w:rPr>
              <w:t>0.20</w:t>
            </w:r>
          </w:p>
        </w:tc>
        <w:tc>
          <w:tcPr>
            <w:tcW w:w="0" w:type="auto"/>
            <w:tcBorders>
              <w:top w:val="nil"/>
              <w:left w:val="nil"/>
              <w:bottom w:val="single" w:sz="4" w:space="0" w:color="auto"/>
              <w:right w:val="nil"/>
            </w:tcBorders>
            <w:shd w:val="clear" w:color="auto" w:fill="auto"/>
            <w:noWrap/>
            <w:vAlign w:val="center"/>
          </w:tcPr>
          <w:p w14:paraId="36267B9F" w14:textId="77777777" w:rsidR="0065555D" w:rsidRPr="005D584E" w:rsidRDefault="0065555D" w:rsidP="00FB3903">
            <w:pPr>
              <w:spacing w:line="240" w:lineRule="auto"/>
              <w:jc w:val="center"/>
              <w:rPr>
                <w:sz w:val="20"/>
                <w:szCs w:val="20"/>
              </w:rPr>
            </w:pPr>
            <w:r w:rsidRPr="005D584E">
              <w:rPr>
                <w:sz w:val="20"/>
                <w:szCs w:val="20"/>
              </w:rPr>
              <w:t>99.97</w:t>
            </w:r>
          </w:p>
        </w:tc>
        <w:tc>
          <w:tcPr>
            <w:tcW w:w="0" w:type="auto"/>
            <w:tcBorders>
              <w:top w:val="nil"/>
              <w:left w:val="nil"/>
              <w:bottom w:val="single" w:sz="4" w:space="0" w:color="auto"/>
              <w:right w:val="nil"/>
            </w:tcBorders>
            <w:shd w:val="clear" w:color="auto" w:fill="auto"/>
            <w:noWrap/>
            <w:vAlign w:val="center"/>
          </w:tcPr>
          <w:p w14:paraId="7D615DF2" w14:textId="77777777" w:rsidR="0065555D" w:rsidRPr="005D584E" w:rsidRDefault="0065555D" w:rsidP="00FB3903">
            <w:pPr>
              <w:spacing w:line="240" w:lineRule="auto"/>
              <w:jc w:val="center"/>
              <w:rPr>
                <w:sz w:val="20"/>
                <w:szCs w:val="20"/>
              </w:rPr>
            </w:pPr>
            <w:r w:rsidRPr="005D584E">
              <w:rPr>
                <w:sz w:val="20"/>
                <w:szCs w:val="20"/>
              </w:rPr>
              <w:t>11.96</w:t>
            </w:r>
          </w:p>
        </w:tc>
        <w:tc>
          <w:tcPr>
            <w:tcW w:w="0" w:type="auto"/>
            <w:tcBorders>
              <w:top w:val="nil"/>
              <w:left w:val="nil"/>
              <w:bottom w:val="single" w:sz="4" w:space="0" w:color="auto"/>
              <w:right w:val="nil"/>
            </w:tcBorders>
            <w:shd w:val="clear" w:color="auto" w:fill="auto"/>
            <w:noWrap/>
            <w:vAlign w:val="center"/>
          </w:tcPr>
          <w:p w14:paraId="1B5E0F4B" w14:textId="77777777" w:rsidR="0065555D" w:rsidRPr="005D584E" w:rsidRDefault="0065555D" w:rsidP="00FB3903">
            <w:pPr>
              <w:spacing w:line="240" w:lineRule="auto"/>
              <w:jc w:val="center"/>
              <w:rPr>
                <w:sz w:val="20"/>
                <w:szCs w:val="20"/>
              </w:rPr>
            </w:pPr>
            <w:r w:rsidRPr="005D584E">
              <w:rPr>
                <w:sz w:val="20"/>
                <w:szCs w:val="20"/>
              </w:rPr>
              <w:t>10.36</w:t>
            </w:r>
          </w:p>
        </w:tc>
      </w:tr>
      <w:tr w:rsidR="0065555D" w:rsidRPr="005D584E" w14:paraId="607121B9" w14:textId="77777777" w:rsidTr="007049D5">
        <w:trPr>
          <w:trHeight w:val="264"/>
          <w:jc w:val="center"/>
        </w:trPr>
        <w:tc>
          <w:tcPr>
            <w:tcW w:w="0" w:type="auto"/>
            <w:tcBorders>
              <w:top w:val="single" w:sz="4" w:space="0" w:color="auto"/>
              <w:left w:val="nil"/>
              <w:bottom w:val="single" w:sz="4" w:space="0" w:color="auto"/>
              <w:right w:val="nil"/>
            </w:tcBorders>
            <w:shd w:val="clear" w:color="auto" w:fill="auto"/>
            <w:noWrap/>
            <w:vAlign w:val="center"/>
          </w:tcPr>
          <w:p w14:paraId="1FB7FE43" w14:textId="77777777" w:rsidR="0065555D" w:rsidRPr="005D584E" w:rsidRDefault="0065555D" w:rsidP="00FB3903">
            <w:pPr>
              <w:spacing w:after="0" w:line="240" w:lineRule="auto"/>
              <w:jc w:val="center"/>
              <w:rPr>
                <w:rFonts w:eastAsia="Times New Roman" w:cs="Times New Roman"/>
                <w:sz w:val="20"/>
                <w:szCs w:val="20"/>
              </w:rPr>
            </w:pPr>
            <w:r w:rsidRPr="005D584E">
              <w:rPr>
                <w:rFonts w:eastAsia="Times New Roman" w:cs="Times New Roman"/>
                <w:sz w:val="20"/>
                <w:szCs w:val="20"/>
              </w:rPr>
              <w:t>Total</w:t>
            </w:r>
          </w:p>
        </w:tc>
        <w:tc>
          <w:tcPr>
            <w:tcW w:w="0" w:type="auto"/>
            <w:tcBorders>
              <w:top w:val="single" w:sz="4" w:space="0" w:color="auto"/>
              <w:left w:val="nil"/>
              <w:bottom w:val="single" w:sz="4" w:space="0" w:color="auto"/>
              <w:right w:val="nil"/>
            </w:tcBorders>
            <w:vAlign w:val="center"/>
          </w:tcPr>
          <w:p w14:paraId="70A20311" w14:textId="77777777" w:rsidR="0065555D" w:rsidRPr="005D584E" w:rsidRDefault="0065555D" w:rsidP="00FB3903">
            <w:pPr>
              <w:spacing w:line="240" w:lineRule="auto"/>
              <w:jc w:val="center"/>
              <w:rPr>
                <w:sz w:val="20"/>
                <w:szCs w:val="20"/>
              </w:rPr>
            </w:pPr>
            <w:r w:rsidRPr="005D584E">
              <w:rPr>
                <w:sz w:val="20"/>
                <w:szCs w:val="20"/>
              </w:rPr>
              <w:t>35.54</w:t>
            </w:r>
          </w:p>
        </w:tc>
        <w:tc>
          <w:tcPr>
            <w:tcW w:w="0" w:type="auto"/>
            <w:tcBorders>
              <w:top w:val="single" w:sz="4" w:space="0" w:color="auto"/>
              <w:left w:val="nil"/>
              <w:bottom w:val="single" w:sz="4" w:space="0" w:color="auto"/>
              <w:right w:val="nil"/>
            </w:tcBorders>
            <w:shd w:val="clear" w:color="auto" w:fill="auto"/>
            <w:noWrap/>
            <w:vAlign w:val="center"/>
          </w:tcPr>
          <w:p w14:paraId="125C92E6" w14:textId="77777777" w:rsidR="0065555D" w:rsidRPr="005D584E" w:rsidRDefault="0065555D" w:rsidP="00FB3903">
            <w:pPr>
              <w:spacing w:line="240" w:lineRule="auto"/>
              <w:jc w:val="center"/>
              <w:rPr>
                <w:sz w:val="20"/>
                <w:szCs w:val="20"/>
              </w:rPr>
            </w:pPr>
            <w:r w:rsidRPr="005D584E">
              <w:rPr>
                <w:sz w:val="20"/>
                <w:szCs w:val="20"/>
              </w:rPr>
              <w:t>17,390</w:t>
            </w:r>
          </w:p>
        </w:tc>
        <w:tc>
          <w:tcPr>
            <w:tcW w:w="0" w:type="auto"/>
            <w:tcBorders>
              <w:top w:val="single" w:sz="4" w:space="0" w:color="auto"/>
              <w:left w:val="nil"/>
              <w:bottom w:val="single" w:sz="4" w:space="0" w:color="auto"/>
              <w:right w:val="nil"/>
            </w:tcBorders>
            <w:shd w:val="clear" w:color="auto" w:fill="auto"/>
            <w:noWrap/>
            <w:vAlign w:val="center"/>
          </w:tcPr>
          <w:p w14:paraId="047C2E71" w14:textId="77777777" w:rsidR="0065555D" w:rsidRPr="005D584E" w:rsidRDefault="0065555D" w:rsidP="00FB3903">
            <w:pPr>
              <w:spacing w:line="240" w:lineRule="auto"/>
              <w:jc w:val="center"/>
              <w:rPr>
                <w:sz w:val="20"/>
                <w:szCs w:val="20"/>
              </w:rPr>
            </w:pPr>
            <w:r w:rsidRPr="005D584E">
              <w:rPr>
                <w:sz w:val="20"/>
                <w:szCs w:val="20"/>
              </w:rPr>
              <w:t>100.00</w:t>
            </w:r>
          </w:p>
        </w:tc>
        <w:tc>
          <w:tcPr>
            <w:tcW w:w="0" w:type="auto"/>
            <w:tcBorders>
              <w:top w:val="single" w:sz="4" w:space="0" w:color="auto"/>
              <w:left w:val="nil"/>
              <w:bottom w:val="single" w:sz="4" w:space="0" w:color="auto"/>
              <w:right w:val="nil"/>
            </w:tcBorders>
            <w:shd w:val="clear" w:color="auto" w:fill="auto"/>
            <w:noWrap/>
            <w:vAlign w:val="center"/>
          </w:tcPr>
          <w:p w14:paraId="2B0E50F6" w14:textId="77777777" w:rsidR="0065555D" w:rsidRPr="005D584E" w:rsidRDefault="0065555D" w:rsidP="00FB3903">
            <w:pPr>
              <w:spacing w:line="240" w:lineRule="auto"/>
              <w:jc w:val="center"/>
              <w:rPr>
                <w:sz w:val="20"/>
                <w:szCs w:val="20"/>
              </w:rPr>
            </w:pPr>
            <w:r w:rsidRPr="005D584E">
              <w:rPr>
                <w:sz w:val="20"/>
                <w:szCs w:val="20"/>
              </w:rPr>
              <w:t>1.5070</w:t>
            </w:r>
          </w:p>
        </w:tc>
        <w:tc>
          <w:tcPr>
            <w:tcW w:w="0" w:type="auto"/>
            <w:tcBorders>
              <w:top w:val="single" w:sz="4" w:space="0" w:color="auto"/>
              <w:left w:val="nil"/>
              <w:bottom w:val="single" w:sz="4" w:space="0" w:color="auto"/>
              <w:right w:val="nil"/>
            </w:tcBorders>
            <w:vAlign w:val="center"/>
          </w:tcPr>
          <w:p w14:paraId="5F44B1C6" w14:textId="77777777" w:rsidR="0065555D" w:rsidRPr="005D584E" w:rsidRDefault="0065555D" w:rsidP="00FB3903">
            <w:pPr>
              <w:spacing w:line="240" w:lineRule="auto"/>
              <w:jc w:val="center"/>
              <w:rPr>
                <w:sz w:val="20"/>
                <w:szCs w:val="20"/>
              </w:rPr>
            </w:pPr>
            <w:r w:rsidRPr="005D584E">
              <w:rPr>
                <w:sz w:val="20"/>
                <w:szCs w:val="20"/>
              </w:rPr>
              <w:t>47.27</w:t>
            </w:r>
          </w:p>
        </w:tc>
        <w:tc>
          <w:tcPr>
            <w:tcW w:w="0" w:type="auto"/>
            <w:tcBorders>
              <w:top w:val="single" w:sz="4" w:space="0" w:color="auto"/>
              <w:left w:val="nil"/>
              <w:bottom w:val="single" w:sz="4" w:space="0" w:color="auto"/>
              <w:right w:val="nil"/>
            </w:tcBorders>
            <w:vAlign w:val="center"/>
          </w:tcPr>
          <w:p w14:paraId="6964F2E9" w14:textId="77777777" w:rsidR="0065555D" w:rsidRPr="005D584E" w:rsidRDefault="0065555D" w:rsidP="00FB3903">
            <w:pPr>
              <w:spacing w:line="240" w:lineRule="auto"/>
              <w:jc w:val="center"/>
              <w:rPr>
                <w:sz w:val="20"/>
                <w:szCs w:val="20"/>
              </w:rPr>
            </w:pPr>
            <w:r w:rsidRPr="005D584E">
              <w:rPr>
                <w:sz w:val="20"/>
                <w:szCs w:val="20"/>
              </w:rPr>
              <w:t>0.60</w:t>
            </w:r>
          </w:p>
        </w:tc>
        <w:tc>
          <w:tcPr>
            <w:tcW w:w="0" w:type="auto"/>
            <w:tcBorders>
              <w:top w:val="single" w:sz="4" w:space="0" w:color="auto"/>
              <w:left w:val="nil"/>
              <w:bottom w:val="single" w:sz="4" w:space="0" w:color="auto"/>
              <w:right w:val="nil"/>
            </w:tcBorders>
            <w:shd w:val="clear" w:color="auto" w:fill="auto"/>
            <w:noWrap/>
            <w:vAlign w:val="center"/>
          </w:tcPr>
          <w:p w14:paraId="60C7C9C1" w14:textId="77777777" w:rsidR="0065555D" w:rsidRPr="005D584E" w:rsidRDefault="0065555D" w:rsidP="00FB3903">
            <w:pPr>
              <w:spacing w:line="240" w:lineRule="auto"/>
              <w:jc w:val="center"/>
              <w:rPr>
                <w:sz w:val="20"/>
                <w:szCs w:val="20"/>
              </w:rPr>
            </w:pPr>
            <w:r w:rsidRPr="005D584E">
              <w:rPr>
                <w:sz w:val="20"/>
                <w:szCs w:val="20"/>
              </w:rPr>
              <w:t>16.25</w:t>
            </w:r>
          </w:p>
        </w:tc>
        <w:tc>
          <w:tcPr>
            <w:tcW w:w="0" w:type="auto"/>
            <w:tcBorders>
              <w:top w:val="single" w:sz="4" w:space="0" w:color="auto"/>
              <w:left w:val="nil"/>
              <w:bottom w:val="single" w:sz="4" w:space="0" w:color="auto"/>
              <w:right w:val="nil"/>
            </w:tcBorders>
            <w:vAlign w:val="center"/>
          </w:tcPr>
          <w:p w14:paraId="6B93EDA4" w14:textId="77777777" w:rsidR="0065555D" w:rsidRPr="005D584E" w:rsidRDefault="0065555D" w:rsidP="00FB3903">
            <w:pPr>
              <w:spacing w:line="240" w:lineRule="auto"/>
              <w:jc w:val="center"/>
              <w:rPr>
                <w:sz w:val="20"/>
                <w:szCs w:val="20"/>
              </w:rPr>
            </w:pPr>
            <w:r w:rsidRPr="005D584E">
              <w:rPr>
                <w:sz w:val="20"/>
                <w:szCs w:val="20"/>
              </w:rPr>
              <w:t>8.31</w:t>
            </w:r>
          </w:p>
        </w:tc>
        <w:tc>
          <w:tcPr>
            <w:tcW w:w="0" w:type="auto"/>
            <w:tcBorders>
              <w:top w:val="single" w:sz="4" w:space="0" w:color="auto"/>
              <w:left w:val="nil"/>
              <w:bottom w:val="single" w:sz="4" w:space="0" w:color="auto"/>
              <w:right w:val="nil"/>
            </w:tcBorders>
            <w:shd w:val="clear" w:color="auto" w:fill="auto"/>
            <w:noWrap/>
            <w:vAlign w:val="center"/>
          </w:tcPr>
          <w:p w14:paraId="2510A870" w14:textId="77777777" w:rsidR="0065555D" w:rsidRPr="005D584E" w:rsidRDefault="0065555D" w:rsidP="00FB3903">
            <w:pPr>
              <w:spacing w:line="240" w:lineRule="auto"/>
              <w:jc w:val="center"/>
              <w:rPr>
                <w:sz w:val="20"/>
                <w:szCs w:val="20"/>
              </w:rPr>
            </w:pPr>
            <w:r w:rsidRPr="005D584E">
              <w:rPr>
                <w:sz w:val="20"/>
                <w:szCs w:val="20"/>
              </w:rPr>
              <w:t>0.69</w:t>
            </w:r>
          </w:p>
        </w:tc>
        <w:tc>
          <w:tcPr>
            <w:tcW w:w="0" w:type="auto"/>
            <w:tcBorders>
              <w:top w:val="single" w:sz="4" w:space="0" w:color="auto"/>
              <w:left w:val="nil"/>
              <w:bottom w:val="single" w:sz="4" w:space="0" w:color="auto"/>
              <w:right w:val="nil"/>
            </w:tcBorders>
            <w:shd w:val="clear" w:color="auto" w:fill="auto"/>
            <w:noWrap/>
            <w:vAlign w:val="center"/>
          </w:tcPr>
          <w:p w14:paraId="0B1A8DE8" w14:textId="77777777" w:rsidR="0065555D" w:rsidRPr="005D584E" w:rsidRDefault="0065555D" w:rsidP="00FB3903">
            <w:pPr>
              <w:spacing w:line="240" w:lineRule="auto"/>
              <w:jc w:val="center"/>
              <w:rPr>
                <w:sz w:val="20"/>
                <w:szCs w:val="20"/>
              </w:rPr>
            </w:pPr>
            <w:r w:rsidRPr="005D584E">
              <w:rPr>
                <w:sz w:val="20"/>
                <w:szCs w:val="20"/>
              </w:rPr>
              <w:t>0.0744</w:t>
            </w:r>
          </w:p>
        </w:tc>
        <w:tc>
          <w:tcPr>
            <w:tcW w:w="0" w:type="auto"/>
            <w:tcBorders>
              <w:top w:val="single" w:sz="4" w:space="0" w:color="auto"/>
              <w:left w:val="nil"/>
              <w:bottom w:val="single" w:sz="4" w:space="0" w:color="auto"/>
              <w:right w:val="nil"/>
            </w:tcBorders>
            <w:shd w:val="clear" w:color="auto" w:fill="auto"/>
            <w:noWrap/>
            <w:vAlign w:val="center"/>
          </w:tcPr>
          <w:p w14:paraId="14C2C01F" w14:textId="77777777" w:rsidR="0065555D" w:rsidRPr="005D584E" w:rsidRDefault="0065555D" w:rsidP="00FB3903">
            <w:pPr>
              <w:spacing w:line="240" w:lineRule="auto"/>
              <w:jc w:val="center"/>
              <w:rPr>
                <w:sz w:val="20"/>
                <w:szCs w:val="20"/>
              </w:rPr>
            </w:pPr>
            <w:r w:rsidRPr="005D584E">
              <w:rPr>
                <w:sz w:val="20"/>
                <w:szCs w:val="20"/>
              </w:rPr>
              <w:t>0.16</w:t>
            </w:r>
          </w:p>
        </w:tc>
        <w:tc>
          <w:tcPr>
            <w:tcW w:w="0" w:type="auto"/>
            <w:tcBorders>
              <w:top w:val="single" w:sz="4" w:space="0" w:color="auto"/>
              <w:left w:val="nil"/>
              <w:bottom w:val="single" w:sz="4" w:space="0" w:color="auto"/>
              <w:right w:val="nil"/>
            </w:tcBorders>
            <w:shd w:val="clear" w:color="auto" w:fill="auto"/>
            <w:noWrap/>
            <w:vAlign w:val="center"/>
          </w:tcPr>
          <w:p w14:paraId="0E5119A4" w14:textId="77777777" w:rsidR="0065555D" w:rsidRPr="005D584E" w:rsidRDefault="0065555D" w:rsidP="00FB3903">
            <w:pPr>
              <w:spacing w:line="240" w:lineRule="auto"/>
              <w:jc w:val="center"/>
              <w:rPr>
                <w:sz w:val="20"/>
                <w:szCs w:val="20"/>
              </w:rPr>
            </w:pPr>
            <w:r w:rsidRPr="005D584E">
              <w:rPr>
                <w:sz w:val="20"/>
                <w:szCs w:val="20"/>
              </w:rPr>
              <w:t>96.60</w:t>
            </w:r>
          </w:p>
        </w:tc>
        <w:tc>
          <w:tcPr>
            <w:tcW w:w="0" w:type="auto"/>
            <w:tcBorders>
              <w:top w:val="single" w:sz="4" w:space="0" w:color="auto"/>
              <w:left w:val="nil"/>
              <w:bottom w:val="single" w:sz="4" w:space="0" w:color="auto"/>
              <w:right w:val="nil"/>
            </w:tcBorders>
            <w:shd w:val="clear" w:color="auto" w:fill="auto"/>
            <w:noWrap/>
            <w:vAlign w:val="center"/>
          </w:tcPr>
          <w:p w14:paraId="58515AC7" w14:textId="77777777" w:rsidR="0065555D" w:rsidRPr="005D584E" w:rsidRDefault="0065555D" w:rsidP="00FB3903">
            <w:pPr>
              <w:spacing w:line="240" w:lineRule="auto"/>
              <w:jc w:val="center"/>
              <w:rPr>
                <w:sz w:val="20"/>
                <w:szCs w:val="20"/>
              </w:rPr>
            </w:pPr>
            <w:r w:rsidRPr="005D584E">
              <w:rPr>
                <w:sz w:val="20"/>
                <w:szCs w:val="20"/>
              </w:rPr>
              <w:t>17.47</w:t>
            </w:r>
          </w:p>
        </w:tc>
        <w:tc>
          <w:tcPr>
            <w:tcW w:w="0" w:type="auto"/>
            <w:tcBorders>
              <w:top w:val="single" w:sz="4" w:space="0" w:color="auto"/>
              <w:left w:val="nil"/>
              <w:bottom w:val="single" w:sz="4" w:space="0" w:color="auto"/>
              <w:right w:val="nil"/>
            </w:tcBorders>
            <w:shd w:val="clear" w:color="auto" w:fill="auto"/>
            <w:noWrap/>
            <w:vAlign w:val="center"/>
          </w:tcPr>
          <w:p w14:paraId="441478F5" w14:textId="77777777" w:rsidR="0065555D" w:rsidRPr="005D584E" w:rsidRDefault="0065555D" w:rsidP="00FB3903">
            <w:pPr>
              <w:spacing w:line="240" w:lineRule="auto"/>
              <w:jc w:val="center"/>
              <w:rPr>
                <w:sz w:val="20"/>
                <w:szCs w:val="20"/>
              </w:rPr>
            </w:pPr>
            <w:r w:rsidRPr="005D584E">
              <w:rPr>
                <w:sz w:val="20"/>
                <w:szCs w:val="20"/>
              </w:rPr>
              <w:t>10.00</w:t>
            </w:r>
          </w:p>
        </w:tc>
      </w:tr>
    </w:tbl>
    <w:p w14:paraId="6F27A46D" w14:textId="77777777" w:rsidR="0065555D" w:rsidRDefault="0065555D" w:rsidP="00FB3903">
      <w:pPr>
        <w:spacing w:line="240" w:lineRule="auto"/>
      </w:pPr>
    </w:p>
    <w:p w14:paraId="5EDBCADA" w14:textId="77777777" w:rsidR="0065555D" w:rsidRDefault="0065555D" w:rsidP="00FB3903">
      <w:pPr>
        <w:spacing w:line="240" w:lineRule="auto"/>
      </w:pPr>
    </w:p>
    <w:p w14:paraId="310204B5" w14:textId="77777777" w:rsidR="0065555D" w:rsidRDefault="0065555D" w:rsidP="00FB3903">
      <w:pPr>
        <w:spacing w:line="240" w:lineRule="auto"/>
        <w:sectPr w:rsidR="0065555D" w:rsidSect="00FB3903">
          <w:pgSz w:w="15840" w:h="12240" w:orient="landscape"/>
          <w:pgMar w:top="1440" w:right="1440" w:bottom="1440" w:left="1440" w:header="720" w:footer="720" w:gutter="0"/>
          <w:cols w:space="720"/>
          <w:docGrid w:linePitch="360"/>
        </w:sectPr>
      </w:pPr>
    </w:p>
    <w:p w14:paraId="357B62BB" w14:textId="77777777" w:rsidR="0065555D" w:rsidRDefault="0065555D" w:rsidP="00FB3903">
      <w:pPr>
        <w:pStyle w:val="Caption"/>
        <w:spacing w:after="0"/>
      </w:pPr>
      <w:bookmarkStart w:id="6" w:name="_Ref413080044"/>
      <w:r>
        <w:t xml:space="preserve">Table </w:t>
      </w:r>
      <w:r>
        <w:rPr>
          <w:noProof/>
        </w:rPr>
        <w:t>5</w:t>
      </w:r>
      <w:bookmarkEnd w:id="6"/>
      <w:r>
        <w:t>: Spread Regressions with Herfindahl-Hirschman Index (HHI) Quantile Dummies</w:t>
      </w:r>
    </w:p>
    <w:p w14:paraId="598764A4" w14:textId="77777777" w:rsidR="0065555D" w:rsidRDefault="0065555D" w:rsidP="00FB3903">
      <w:pPr>
        <w:spacing w:line="240" w:lineRule="auto"/>
        <w:rPr>
          <w:rFonts w:eastAsia="Times New Roman" w:cs="Times New Roman"/>
        </w:rPr>
      </w:pPr>
      <w:r>
        <w:rPr>
          <w:rFonts w:eastAsia="Times New Roman" w:cs="Times New Roman"/>
        </w:rPr>
        <w:t>T</w:t>
      </w:r>
      <w:r w:rsidRPr="008C73FB">
        <w:rPr>
          <w:rFonts w:eastAsia="Times New Roman" w:cs="Times New Roman"/>
        </w:rPr>
        <w:t xml:space="preserve">he </w:t>
      </w:r>
      <w:r>
        <w:rPr>
          <w:rFonts w:eastAsia="Times New Roman" w:cs="Times New Roman"/>
        </w:rPr>
        <w:t xml:space="preserve">dependent variable in the regression model is the </w:t>
      </w:r>
      <w:r w:rsidRPr="008C73FB">
        <w:rPr>
          <w:rFonts w:eastAsia="Times New Roman" w:cs="Times New Roman"/>
        </w:rPr>
        <w:t xml:space="preserve">spread </w:t>
      </w:r>
      <w:r>
        <w:rPr>
          <w:rFonts w:eastAsia="Times New Roman" w:cs="Times New Roman"/>
        </w:rPr>
        <w:t xml:space="preserve">between the mortgage interest rate and the rate on a maturity matched Treasury security. In the first model, the spread </w:t>
      </w:r>
      <w:r w:rsidRPr="008C73FB">
        <w:rPr>
          <w:rFonts w:eastAsia="Times New Roman" w:cs="Times New Roman"/>
        </w:rPr>
        <w:t xml:space="preserve">is regressed on dummy variables representing </w:t>
      </w:r>
      <w:r>
        <w:rPr>
          <w:rFonts w:eastAsia="Times New Roman" w:cs="Times New Roman"/>
        </w:rPr>
        <w:t xml:space="preserve">the quantile of the </w:t>
      </w:r>
      <w:r>
        <w:rPr>
          <w:rFonts w:cs="Times New Roman"/>
        </w:rPr>
        <w:t>Herfindahl-Hirschman Index (HHI)</w:t>
      </w:r>
      <w:r w:rsidRPr="008C73FB">
        <w:rPr>
          <w:rFonts w:eastAsia="Times New Roman" w:cs="Times New Roman"/>
        </w:rPr>
        <w:t xml:space="preserve"> </w:t>
      </w:r>
      <w:r>
        <w:rPr>
          <w:rFonts w:eastAsia="Times New Roman" w:cs="Times New Roman"/>
        </w:rPr>
        <w:t xml:space="preserve">that a property is in </w:t>
      </w:r>
      <w:r w:rsidRPr="008C73FB">
        <w:rPr>
          <w:rFonts w:eastAsia="Times New Roman" w:cs="Times New Roman"/>
        </w:rPr>
        <w:t xml:space="preserve">and a number of control variables. </w:t>
      </w:r>
      <w:r>
        <w:rPr>
          <w:rFonts w:eastAsia="Times New Roman" w:cs="Times New Roman"/>
        </w:rPr>
        <w:t xml:space="preserve">In the second model, the HHI dummy variables are interacted with a dummy variable that equals 1 if the largest tenant’s lease expires before the loan matures and 0 otherwise. </w:t>
      </w:r>
      <w:r w:rsidRPr="008C73FB">
        <w:rPr>
          <w:rFonts w:eastAsia="Times New Roman" w:cs="Times New Roman"/>
        </w:rPr>
        <w:t xml:space="preserve">The data span from January 1998 to March 2012. The models include </w:t>
      </w:r>
      <w:r>
        <w:rPr>
          <w:rFonts w:eastAsia="Times New Roman" w:cs="Times New Roman"/>
        </w:rPr>
        <w:t>month</w:t>
      </w:r>
      <w:r w:rsidRPr="008C73FB">
        <w:rPr>
          <w:rFonts w:eastAsia="Times New Roman" w:cs="Times New Roman"/>
        </w:rPr>
        <w:t xml:space="preserve"> fixed effects, and coefficient standard errors are clustered by </w:t>
      </w:r>
      <w:r>
        <w:rPr>
          <w:rFonts w:eastAsia="Times New Roman" w:cs="Times New Roman"/>
        </w:rPr>
        <w:t>month</w:t>
      </w:r>
      <w:r w:rsidRPr="008C73FB">
        <w:rPr>
          <w:rFonts w:eastAsia="Times New Roman" w:cs="Times New Roman"/>
        </w:rPr>
        <w:t>.</w:t>
      </w:r>
    </w:p>
    <w:p w14:paraId="3A2CD712" w14:textId="77777777" w:rsidR="0065555D" w:rsidRDefault="0065555D" w:rsidP="00FB3903">
      <w:pPr>
        <w:spacing w:line="240" w:lineRule="auto"/>
      </w:pPr>
    </w:p>
    <w:tbl>
      <w:tblPr>
        <w:tblW w:w="0" w:type="auto"/>
        <w:jc w:val="center"/>
        <w:tblLook w:val="04A0" w:firstRow="1" w:lastRow="0" w:firstColumn="1" w:lastColumn="0" w:noHBand="0" w:noVBand="1"/>
      </w:tblPr>
      <w:tblGrid>
        <w:gridCol w:w="3219"/>
        <w:gridCol w:w="1116"/>
        <w:gridCol w:w="1066"/>
        <w:gridCol w:w="1116"/>
        <w:gridCol w:w="1066"/>
      </w:tblGrid>
      <w:tr w:rsidR="0065555D" w:rsidRPr="003A4247" w14:paraId="7116F349" w14:textId="77777777" w:rsidTr="007049D5">
        <w:trPr>
          <w:trHeight w:val="264"/>
          <w:jc w:val="center"/>
        </w:trPr>
        <w:tc>
          <w:tcPr>
            <w:tcW w:w="0" w:type="auto"/>
            <w:gridSpan w:val="5"/>
            <w:tcBorders>
              <w:top w:val="single" w:sz="4" w:space="0" w:color="auto"/>
              <w:left w:val="nil"/>
              <w:bottom w:val="single" w:sz="4" w:space="0" w:color="auto"/>
              <w:right w:val="nil"/>
            </w:tcBorders>
            <w:shd w:val="clear" w:color="auto" w:fill="auto"/>
            <w:noWrap/>
            <w:vAlign w:val="center"/>
          </w:tcPr>
          <w:p w14:paraId="6543B22A" w14:textId="77777777" w:rsidR="0065555D" w:rsidRPr="003A4247" w:rsidRDefault="0065555D" w:rsidP="007049D5">
            <w:pPr>
              <w:spacing w:after="0" w:line="240" w:lineRule="auto"/>
              <w:jc w:val="center"/>
              <w:rPr>
                <w:rFonts w:eastAsia="Times New Roman" w:cs="Times New Roman"/>
                <w:color w:val="000000"/>
                <w:sz w:val="20"/>
                <w:szCs w:val="20"/>
              </w:rPr>
            </w:pPr>
            <w:r w:rsidRPr="003A4247">
              <w:rPr>
                <w:rFonts w:eastAsia="Times New Roman" w:cs="Times New Roman"/>
                <w:color w:val="000000"/>
                <w:sz w:val="20"/>
                <w:szCs w:val="20"/>
              </w:rPr>
              <w:t>Dependent Variable = Commercial Mortgage Spread (%)</w:t>
            </w:r>
          </w:p>
        </w:tc>
      </w:tr>
      <w:tr w:rsidR="0065555D" w:rsidRPr="003A4247" w14:paraId="58A33239" w14:textId="77777777" w:rsidTr="00FB3903">
        <w:trPr>
          <w:trHeight w:val="264"/>
          <w:jc w:val="center"/>
        </w:trPr>
        <w:tc>
          <w:tcPr>
            <w:tcW w:w="0" w:type="auto"/>
            <w:vMerge w:val="restart"/>
            <w:tcBorders>
              <w:top w:val="single" w:sz="4" w:space="0" w:color="auto"/>
              <w:left w:val="nil"/>
              <w:right w:val="nil"/>
            </w:tcBorders>
            <w:shd w:val="clear" w:color="auto" w:fill="auto"/>
            <w:noWrap/>
            <w:vAlign w:val="bottom"/>
          </w:tcPr>
          <w:p w14:paraId="1880254B" w14:textId="77777777" w:rsidR="0065555D" w:rsidRPr="003A4247" w:rsidRDefault="0065555D" w:rsidP="00FB3903">
            <w:pPr>
              <w:spacing w:after="0" w:line="240" w:lineRule="auto"/>
              <w:rPr>
                <w:rFonts w:eastAsia="Times New Roman" w:cs="Times New Roman"/>
                <w:color w:val="000000"/>
                <w:sz w:val="20"/>
                <w:szCs w:val="20"/>
              </w:rPr>
            </w:pPr>
            <w:r w:rsidRPr="003A4247">
              <w:rPr>
                <w:rFonts w:eastAsia="Times New Roman" w:cs="Times New Roman"/>
                <w:color w:val="000000"/>
                <w:sz w:val="20"/>
                <w:szCs w:val="20"/>
              </w:rPr>
              <w:t>Variable</w:t>
            </w:r>
          </w:p>
        </w:tc>
        <w:tc>
          <w:tcPr>
            <w:tcW w:w="0" w:type="auto"/>
            <w:gridSpan w:val="2"/>
            <w:tcBorders>
              <w:top w:val="single" w:sz="4" w:space="0" w:color="auto"/>
              <w:left w:val="nil"/>
              <w:bottom w:val="single" w:sz="4" w:space="0" w:color="auto"/>
              <w:right w:val="nil"/>
            </w:tcBorders>
            <w:shd w:val="clear" w:color="auto" w:fill="auto"/>
            <w:noWrap/>
            <w:vAlign w:val="bottom"/>
          </w:tcPr>
          <w:p w14:paraId="072365C6" w14:textId="77777777" w:rsidR="0065555D" w:rsidRPr="003A4247" w:rsidRDefault="0065555D" w:rsidP="00FB3903">
            <w:pPr>
              <w:spacing w:after="0" w:line="240" w:lineRule="auto"/>
              <w:jc w:val="center"/>
              <w:rPr>
                <w:rFonts w:eastAsia="Times New Roman" w:cs="Times New Roman"/>
                <w:color w:val="000000"/>
                <w:sz w:val="20"/>
                <w:szCs w:val="20"/>
              </w:rPr>
            </w:pPr>
            <w:r w:rsidRPr="003A4247">
              <w:rPr>
                <w:rFonts w:eastAsia="Times New Roman" w:cs="Times New Roman"/>
                <w:color w:val="000000"/>
                <w:sz w:val="20"/>
                <w:szCs w:val="20"/>
              </w:rPr>
              <w:t>HHI Specification 1</w:t>
            </w:r>
          </w:p>
        </w:tc>
        <w:tc>
          <w:tcPr>
            <w:tcW w:w="0" w:type="auto"/>
            <w:gridSpan w:val="2"/>
            <w:tcBorders>
              <w:top w:val="single" w:sz="4" w:space="0" w:color="auto"/>
              <w:left w:val="nil"/>
              <w:bottom w:val="single" w:sz="4" w:space="0" w:color="auto"/>
              <w:right w:val="nil"/>
            </w:tcBorders>
            <w:shd w:val="clear" w:color="auto" w:fill="auto"/>
            <w:noWrap/>
            <w:vAlign w:val="bottom"/>
          </w:tcPr>
          <w:p w14:paraId="740400E4" w14:textId="77777777" w:rsidR="0065555D" w:rsidRPr="003A4247" w:rsidRDefault="0065555D" w:rsidP="00FB3903">
            <w:pPr>
              <w:spacing w:after="0" w:line="240" w:lineRule="auto"/>
              <w:jc w:val="center"/>
              <w:rPr>
                <w:rFonts w:eastAsia="Times New Roman" w:cs="Times New Roman"/>
                <w:color w:val="000000"/>
                <w:sz w:val="20"/>
                <w:szCs w:val="20"/>
              </w:rPr>
            </w:pPr>
            <w:r w:rsidRPr="003A4247">
              <w:rPr>
                <w:rFonts w:eastAsia="Times New Roman" w:cs="Times New Roman"/>
                <w:color w:val="000000"/>
                <w:sz w:val="20"/>
                <w:szCs w:val="20"/>
              </w:rPr>
              <w:t>HHI Specification 2</w:t>
            </w:r>
          </w:p>
        </w:tc>
      </w:tr>
      <w:tr w:rsidR="0065555D" w:rsidRPr="003A4247" w14:paraId="29299C39" w14:textId="77777777" w:rsidTr="007049D5">
        <w:trPr>
          <w:trHeight w:val="264"/>
          <w:jc w:val="center"/>
        </w:trPr>
        <w:tc>
          <w:tcPr>
            <w:tcW w:w="0" w:type="auto"/>
            <w:vMerge/>
            <w:tcBorders>
              <w:left w:val="nil"/>
              <w:bottom w:val="single" w:sz="4" w:space="0" w:color="auto"/>
              <w:right w:val="nil"/>
            </w:tcBorders>
            <w:shd w:val="clear" w:color="auto" w:fill="auto"/>
            <w:noWrap/>
            <w:vAlign w:val="bottom"/>
            <w:hideMark/>
          </w:tcPr>
          <w:p w14:paraId="07CA973E" w14:textId="77777777" w:rsidR="0065555D" w:rsidRPr="003A4247" w:rsidRDefault="0065555D" w:rsidP="00FB3903">
            <w:pPr>
              <w:spacing w:after="0" w:line="240" w:lineRule="auto"/>
              <w:rPr>
                <w:rFonts w:eastAsia="Times New Roman" w:cs="Times New Roman"/>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14:paraId="0218D389" w14:textId="77777777" w:rsidR="0065555D" w:rsidRPr="003A4247" w:rsidRDefault="0065555D" w:rsidP="007049D5">
            <w:pPr>
              <w:spacing w:after="0" w:line="240" w:lineRule="auto"/>
              <w:jc w:val="center"/>
              <w:rPr>
                <w:rFonts w:eastAsia="Times New Roman" w:cs="Times New Roman"/>
                <w:color w:val="000000"/>
                <w:sz w:val="20"/>
                <w:szCs w:val="20"/>
              </w:rPr>
            </w:pPr>
            <w:r w:rsidRPr="003A4247">
              <w:rPr>
                <w:rFonts w:eastAsia="Times New Roman" w:cs="Times New Roman"/>
                <w:color w:val="000000"/>
                <w:sz w:val="20"/>
                <w:szCs w:val="20"/>
              </w:rPr>
              <w:t>Coefficient</w:t>
            </w:r>
          </w:p>
          <w:p w14:paraId="0D77D01E" w14:textId="77777777" w:rsidR="0065555D" w:rsidRPr="003A4247" w:rsidRDefault="0065555D" w:rsidP="007049D5">
            <w:pPr>
              <w:spacing w:after="0" w:line="240" w:lineRule="auto"/>
              <w:jc w:val="center"/>
              <w:rPr>
                <w:rFonts w:eastAsia="Times New Roman" w:cs="Times New Roman"/>
                <w:sz w:val="20"/>
                <w:szCs w:val="20"/>
              </w:rPr>
            </w:pPr>
            <w:r w:rsidRPr="003A4247">
              <w:rPr>
                <w:rFonts w:eastAsia="Times New Roman" w:cs="Times New Roman"/>
                <w:color w:val="000000"/>
                <w:sz w:val="20"/>
                <w:szCs w:val="20"/>
              </w:rPr>
              <w:t>Estimate</w:t>
            </w:r>
          </w:p>
        </w:tc>
        <w:tc>
          <w:tcPr>
            <w:tcW w:w="0" w:type="auto"/>
            <w:tcBorders>
              <w:top w:val="single" w:sz="4" w:space="0" w:color="auto"/>
              <w:left w:val="nil"/>
              <w:bottom w:val="single" w:sz="4" w:space="0" w:color="auto"/>
              <w:right w:val="nil"/>
            </w:tcBorders>
            <w:shd w:val="clear" w:color="auto" w:fill="auto"/>
            <w:noWrap/>
            <w:vAlign w:val="bottom"/>
            <w:hideMark/>
          </w:tcPr>
          <w:p w14:paraId="4877BBDC" w14:textId="77777777" w:rsidR="0065555D" w:rsidRPr="003A4247" w:rsidRDefault="0065555D" w:rsidP="007049D5">
            <w:pPr>
              <w:spacing w:after="0" w:line="240" w:lineRule="auto"/>
              <w:jc w:val="center"/>
              <w:rPr>
                <w:rFonts w:eastAsia="Times New Roman" w:cs="Times New Roman"/>
                <w:sz w:val="20"/>
                <w:szCs w:val="20"/>
              </w:rPr>
            </w:pPr>
            <w:r w:rsidRPr="003A4247">
              <w:rPr>
                <w:rFonts w:eastAsia="Times New Roman" w:cs="Times New Roman"/>
                <w:color w:val="000000"/>
                <w:sz w:val="20"/>
                <w:szCs w:val="20"/>
              </w:rPr>
              <w:t>t-stat</w:t>
            </w:r>
          </w:p>
        </w:tc>
        <w:tc>
          <w:tcPr>
            <w:tcW w:w="0" w:type="auto"/>
            <w:tcBorders>
              <w:top w:val="single" w:sz="4" w:space="0" w:color="auto"/>
              <w:left w:val="nil"/>
              <w:bottom w:val="single" w:sz="4" w:space="0" w:color="auto"/>
              <w:right w:val="nil"/>
            </w:tcBorders>
            <w:shd w:val="clear" w:color="auto" w:fill="auto"/>
            <w:noWrap/>
            <w:vAlign w:val="bottom"/>
            <w:hideMark/>
          </w:tcPr>
          <w:p w14:paraId="346EB0CD" w14:textId="77777777" w:rsidR="0065555D" w:rsidRPr="003A4247" w:rsidRDefault="0065555D" w:rsidP="007049D5">
            <w:pPr>
              <w:spacing w:after="0" w:line="240" w:lineRule="auto"/>
              <w:jc w:val="center"/>
              <w:rPr>
                <w:rFonts w:eastAsia="Times New Roman" w:cs="Times New Roman"/>
                <w:color w:val="000000"/>
                <w:sz w:val="20"/>
                <w:szCs w:val="20"/>
              </w:rPr>
            </w:pPr>
            <w:r w:rsidRPr="003A4247">
              <w:rPr>
                <w:rFonts w:eastAsia="Times New Roman" w:cs="Times New Roman"/>
                <w:color w:val="000000"/>
                <w:sz w:val="20"/>
                <w:szCs w:val="20"/>
              </w:rPr>
              <w:t>Coefficient</w:t>
            </w:r>
          </w:p>
          <w:p w14:paraId="15818610" w14:textId="77777777" w:rsidR="0065555D" w:rsidRPr="003A4247" w:rsidRDefault="0065555D" w:rsidP="007049D5">
            <w:pPr>
              <w:spacing w:after="0" w:line="240" w:lineRule="auto"/>
              <w:jc w:val="center"/>
              <w:rPr>
                <w:rFonts w:eastAsia="Times New Roman" w:cs="Times New Roman"/>
                <w:sz w:val="20"/>
                <w:szCs w:val="20"/>
              </w:rPr>
            </w:pPr>
            <w:r w:rsidRPr="003A4247">
              <w:rPr>
                <w:rFonts w:eastAsia="Times New Roman" w:cs="Times New Roman"/>
                <w:color w:val="000000"/>
                <w:sz w:val="20"/>
                <w:szCs w:val="20"/>
              </w:rPr>
              <w:t>Estimate</w:t>
            </w:r>
          </w:p>
        </w:tc>
        <w:tc>
          <w:tcPr>
            <w:tcW w:w="0" w:type="auto"/>
            <w:tcBorders>
              <w:top w:val="single" w:sz="4" w:space="0" w:color="auto"/>
              <w:left w:val="nil"/>
              <w:bottom w:val="single" w:sz="4" w:space="0" w:color="auto"/>
              <w:right w:val="nil"/>
            </w:tcBorders>
            <w:shd w:val="clear" w:color="auto" w:fill="auto"/>
            <w:noWrap/>
            <w:vAlign w:val="bottom"/>
            <w:hideMark/>
          </w:tcPr>
          <w:p w14:paraId="2500C245" w14:textId="77777777" w:rsidR="0065555D" w:rsidRPr="003A4247" w:rsidRDefault="0065555D" w:rsidP="007049D5">
            <w:pPr>
              <w:spacing w:after="0" w:line="240" w:lineRule="auto"/>
              <w:jc w:val="center"/>
              <w:rPr>
                <w:rFonts w:eastAsia="Times New Roman" w:cs="Times New Roman"/>
                <w:sz w:val="20"/>
                <w:szCs w:val="20"/>
              </w:rPr>
            </w:pPr>
            <w:r w:rsidRPr="003A4247">
              <w:rPr>
                <w:rFonts w:eastAsia="Times New Roman" w:cs="Times New Roman"/>
                <w:color w:val="000000"/>
                <w:sz w:val="20"/>
                <w:szCs w:val="20"/>
              </w:rPr>
              <w:t>t-stat</w:t>
            </w:r>
          </w:p>
        </w:tc>
      </w:tr>
      <w:tr w:rsidR="0065555D" w:rsidRPr="003A4247" w14:paraId="7A661AC6"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3C5AF14D" w14:textId="77777777" w:rsidR="0065555D" w:rsidRPr="003A4247" w:rsidRDefault="0065555D" w:rsidP="007049D5">
            <w:pPr>
              <w:spacing w:after="0" w:line="240" w:lineRule="auto"/>
              <w:jc w:val="left"/>
              <w:rPr>
                <w:rFonts w:eastAsia="Times New Roman" w:cs="Times New Roman"/>
                <w:sz w:val="20"/>
                <w:szCs w:val="20"/>
              </w:rPr>
            </w:pPr>
            <w:r w:rsidRPr="003A4247">
              <w:rPr>
                <w:rFonts w:eastAsia="Times New Roman" w:cs="Times New Roman"/>
                <w:sz w:val="20"/>
                <w:szCs w:val="20"/>
              </w:rPr>
              <w:t>D(HHI quantile=1)</w:t>
            </w:r>
          </w:p>
        </w:tc>
        <w:tc>
          <w:tcPr>
            <w:tcW w:w="0" w:type="auto"/>
            <w:tcBorders>
              <w:top w:val="nil"/>
              <w:left w:val="nil"/>
              <w:bottom w:val="nil"/>
              <w:right w:val="nil"/>
            </w:tcBorders>
            <w:shd w:val="clear" w:color="auto" w:fill="auto"/>
            <w:noWrap/>
            <w:vAlign w:val="center"/>
          </w:tcPr>
          <w:p w14:paraId="07E7F277"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0.0514</w:t>
            </w:r>
          </w:p>
        </w:tc>
        <w:tc>
          <w:tcPr>
            <w:tcW w:w="0" w:type="auto"/>
            <w:tcBorders>
              <w:top w:val="nil"/>
              <w:left w:val="nil"/>
              <w:bottom w:val="nil"/>
              <w:right w:val="nil"/>
            </w:tcBorders>
            <w:shd w:val="clear" w:color="auto" w:fill="auto"/>
            <w:noWrap/>
            <w:vAlign w:val="center"/>
          </w:tcPr>
          <w:p w14:paraId="684D6A63"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(3.6978)</w:t>
            </w:r>
          </w:p>
        </w:tc>
        <w:tc>
          <w:tcPr>
            <w:tcW w:w="0" w:type="auto"/>
            <w:tcBorders>
              <w:top w:val="nil"/>
              <w:left w:val="nil"/>
              <w:bottom w:val="nil"/>
              <w:right w:val="nil"/>
            </w:tcBorders>
            <w:shd w:val="clear" w:color="auto" w:fill="auto"/>
            <w:noWrap/>
            <w:vAlign w:val="center"/>
          </w:tcPr>
          <w:p w14:paraId="7CF749C7"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0.0594</w:t>
            </w:r>
          </w:p>
        </w:tc>
        <w:tc>
          <w:tcPr>
            <w:tcW w:w="0" w:type="auto"/>
            <w:tcBorders>
              <w:top w:val="nil"/>
              <w:left w:val="nil"/>
              <w:bottom w:val="nil"/>
              <w:right w:val="nil"/>
            </w:tcBorders>
            <w:shd w:val="clear" w:color="auto" w:fill="auto"/>
            <w:noWrap/>
            <w:vAlign w:val="center"/>
          </w:tcPr>
          <w:p w14:paraId="35D65420"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(2.0633)</w:t>
            </w:r>
          </w:p>
        </w:tc>
      </w:tr>
      <w:tr w:rsidR="0065555D" w:rsidRPr="003A4247" w14:paraId="51AF5555"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3A1E2540" w14:textId="77777777" w:rsidR="0065555D" w:rsidRPr="003A4247" w:rsidRDefault="0065555D" w:rsidP="007049D5">
            <w:pPr>
              <w:spacing w:after="0" w:line="240" w:lineRule="auto"/>
              <w:jc w:val="left"/>
              <w:rPr>
                <w:rFonts w:eastAsia="Times New Roman" w:cs="Times New Roman"/>
                <w:sz w:val="20"/>
                <w:szCs w:val="20"/>
              </w:rPr>
            </w:pPr>
            <w:r w:rsidRPr="003A4247">
              <w:rPr>
                <w:rFonts w:eastAsia="Times New Roman" w:cs="Times New Roman"/>
                <w:sz w:val="20"/>
                <w:szCs w:val="20"/>
              </w:rPr>
              <w:t>D(HHI quantile=1)</w:t>
            </w:r>
            <w:r w:rsidRPr="003A4247">
              <w:rPr>
                <w:rFonts w:eastAsia="Times New Roman" w:cs="Times New Roman"/>
                <w:color w:val="000000"/>
                <w:sz w:val="20"/>
                <w:szCs w:val="20"/>
              </w:rPr>
              <w:t xml:space="preserve"> × D(L1 Rollover)</w:t>
            </w:r>
          </w:p>
        </w:tc>
        <w:tc>
          <w:tcPr>
            <w:tcW w:w="0" w:type="auto"/>
            <w:tcBorders>
              <w:top w:val="nil"/>
              <w:left w:val="nil"/>
              <w:bottom w:val="nil"/>
              <w:right w:val="nil"/>
            </w:tcBorders>
            <w:shd w:val="clear" w:color="auto" w:fill="auto"/>
            <w:noWrap/>
            <w:vAlign w:val="center"/>
          </w:tcPr>
          <w:p w14:paraId="3187E3E3" w14:textId="77777777" w:rsidR="0065555D" w:rsidRPr="003A4247"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tcPr>
          <w:p w14:paraId="453E5AEC" w14:textId="77777777" w:rsidR="0065555D" w:rsidRPr="003A4247"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tcPr>
          <w:p w14:paraId="0432F950"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-0.0108</w:t>
            </w:r>
          </w:p>
        </w:tc>
        <w:tc>
          <w:tcPr>
            <w:tcW w:w="0" w:type="auto"/>
            <w:tcBorders>
              <w:top w:val="nil"/>
              <w:left w:val="nil"/>
              <w:bottom w:val="nil"/>
              <w:right w:val="nil"/>
            </w:tcBorders>
            <w:shd w:val="clear" w:color="auto" w:fill="auto"/>
            <w:noWrap/>
            <w:vAlign w:val="center"/>
          </w:tcPr>
          <w:p w14:paraId="329322EB"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(-0.4198)</w:t>
            </w:r>
          </w:p>
        </w:tc>
      </w:tr>
      <w:tr w:rsidR="0065555D" w:rsidRPr="003A4247" w14:paraId="0473336C"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4E696E0D" w14:textId="77777777" w:rsidR="0065555D" w:rsidRPr="003A4247" w:rsidRDefault="0065555D" w:rsidP="007049D5">
            <w:pPr>
              <w:spacing w:after="0" w:line="240" w:lineRule="auto"/>
              <w:jc w:val="left"/>
              <w:rPr>
                <w:rFonts w:eastAsia="Times New Roman" w:cs="Times New Roman"/>
                <w:sz w:val="20"/>
                <w:szCs w:val="20"/>
              </w:rPr>
            </w:pPr>
            <w:r w:rsidRPr="003A4247">
              <w:rPr>
                <w:rFonts w:eastAsia="Times New Roman" w:cs="Times New Roman"/>
                <w:sz w:val="20"/>
                <w:szCs w:val="20"/>
              </w:rPr>
              <w:t>D(HHI quantile=2)</w:t>
            </w:r>
          </w:p>
        </w:tc>
        <w:tc>
          <w:tcPr>
            <w:tcW w:w="0" w:type="auto"/>
            <w:tcBorders>
              <w:top w:val="nil"/>
              <w:left w:val="nil"/>
              <w:bottom w:val="nil"/>
              <w:right w:val="nil"/>
            </w:tcBorders>
            <w:shd w:val="clear" w:color="auto" w:fill="auto"/>
            <w:noWrap/>
            <w:vAlign w:val="center"/>
          </w:tcPr>
          <w:p w14:paraId="3DAFD033"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0.0201</w:t>
            </w:r>
          </w:p>
        </w:tc>
        <w:tc>
          <w:tcPr>
            <w:tcW w:w="0" w:type="auto"/>
            <w:tcBorders>
              <w:top w:val="nil"/>
              <w:left w:val="nil"/>
              <w:bottom w:val="nil"/>
              <w:right w:val="nil"/>
            </w:tcBorders>
            <w:shd w:val="clear" w:color="auto" w:fill="auto"/>
            <w:noWrap/>
            <w:vAlign w:val="center"/>
          </w:tcPr>
          <w:p w14:paraId="1CD30873"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(1.5586)</w:t>
            </w:r>
          </w:p>
        </w:tc>
        <w:tc>
          <w:tcPr>
            <w:tcW w:w="0" w:type="auto"/>
            <w:tcBorders>
              <w:top w:val="nil"/>
              <w:left w:val="nil"/>
              <w:bottom w:val="nil"/>
              <w:right w:val="nil"/>
            </w:tcBorders>
            <w:shd w:val="clear" w:color="auto" w:fill="auto"/>
            <w:noWrap/>
            <w:vAlign w:val="center"/>
          </w:tcPr>
          <w:p w14:paraId="66F7E809"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0.0128</w:t>
            </w:r>
          </w:p>
        </w:tc>
        <w:tc>
          <w:tcPr>
            <w:tcW w:w="0" w:type="auto"/>
            <w:tcBorders>
              <w:top w:val="nil"/>
              <w:left w:val="nil"/>
              <w:bottom w:val="nil"/>
              <w:right w:val="nil"/>
            </w:tcBorders>
            <w:shd w:val="clear" w:color="auto" w:fill="auto"/>
            <w:noWrap/>
            <w:vAlign w:val="center"/>
          </w:tcPr>
          <w:p w14:paraId="4F8D8D51"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(0.6574)</w:t>
            </w:r>
          </w:p>
        </w:tc>
      </w:tr>
      <w:tr w:rsidR="0065555D" w:rsidRPr="003A4247" w14:paraId="536A0F04"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5288654A" w14:textId="77777777" w:rsidR="0065555D" w:rsidRPr="003A4247" w:rsidRDefault="0065555D" w:rsidP="007049D5">
            <w:pPr>
              <w:spacing w:after="0" w:line="240" w:lineRule="auto"/>
              <w:jc w:val="left"/>
              <w:rPr>
                <w:rFonts w:eastAsia="Times New Roman" w:cs="Times New Roman"/>
                <w:sz w:val="20"/>
                <w:szCs w:val="20"/>
              </w:rPr>
            </w:pPr>
            <w:r w:rsidRPr="003A4247">
              <w:rPr>
                <w:rFonts w:eastAsia="Times New Roman" w:cs="Times New Roman"/>
                <w:sz w:val="20"/>
                <w:szCs w:val="20"/>
              </w:rPr>
              <w:t>D(HHI quantile=2)</w:t>
            </w:r>
            <w:r w:rsidRPr="003A4247">
              <w:rPr>
                <w:rFonts w:eastAsia="Times New Roman" w:cs="Times New Roman"/>
                <w:color w:val="000000"/>
                <w:sz w:val="20"/>
                <w:szCs w:val="20"/>
              </w:rPr>
              <w:t xml:space="preserve"> × D(L1 Rollover)</w:t>
            </w:r>
          </w:p>
        </w:tc>
        <w:tc>
          <w:tcPr>
            <w:tcW w:w="0" w:type="auto"/>
            <w:tcBorders>
              <w:top w:val="nil"/>
              <w:left w:val="nil"/>
              <w:bottom w:val="nil"/>
              <w:right w:val="nil"/>
            </w:tcBorders>
            <w:shd w:val="clear" w:color="auto" w:fill="auto"/>
            <w:noWrap/>
            <w:vAlign w:val="center"/>
          </w:tcPr>
          <w:p w14:paraId="55A2A46B" w14:textId="77777777" w:rsidR="0065555D" w:rsidRPr="003A4247"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tcPr>
          <w:p w14:paraId="5B8A8339" w14:textId="77777777" w:rsidR="0065555D" w:rsidRPr="003A4247"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tcPr>
          <w:p w14:paraId="6BD90030"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0.0092</w:t>
            </w:r>
          </w:p>
        </w:tc>
        <w:tc>
          <w:tcPr>
            <w:tcW w:w="0" w:type="auto"/>
            <w:tcBorders>
              <w:top w:val="nil"/>
              <w:left w:val="nil"/>
              <w:bottom w:val="nil"/>
              <w:right w:val="nil"/>
            </w:tcBorders>
            <w:shd w:val="clear" w:color="auto" w:fill="auto"/>
            <w:noWrap/>
            <w:vAlign w:val="center"/>
          </w:tcPr>
          <w:p w14:paraId="7EE93382"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(0.5884)</w:t>
            </w:r>
          </w:p>
        </w:tc>
      </w:tr>
      <w:tr w:rsidR="0065555D" w:rsidRPr="003A4247" w14:paraId="5A976BBB"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26CEF1FC" w14:textId="77777777" w:rsidR="0065555D" w:rsidRPr="003A4247" w:rsidRDefault="0065555D" w:rsidP="007049D5">
            <w:pPr>
              <w:spacing w:after="0" w:line="240" w:lineRule="auto"/>
              <w:jc w:val="left"/>
              <w:rPr>
                <w:rFonts w:eastAsia="Times New Roman" w:cs="Times New Roman"/>
                <w:sz w:val="20"/>
                <w:szCs w:val="20"/>
              </w:rPr>
            </w:pPr>
            <w:r w:rsidRPr="003A4247">
              <w:rPr>
                <w:rFonts w:eastAsia="Times New Roman" w:cs="Times New Roman"/>
                <w:sz w:val="20"/>
                <w:szCs w:val="20"/>
              </w:rPr>
              <w:t>D(HHI quantile=3)</w:t>
            </w:r>
          </w:p>
        </w:tc>
        <w:tc>
          <w:tcPr>
            <w:tcW w:w="0" w:type="auto"/>
            <w:tcBorders>
              <w:top w:val="nil"/>
              <w:left w:val="nil"/>
              <w:bottom w:val="nil"/>
              <w:right w:val="nil"/>
            </w:tcBorders>
            <w:shd w:val="clear" w:color="auto" w:fill="auto"/>
            <w:noWrap/>
            <w:vAlign w:val="center"/>
          </w:tcPr>
          <w:p w14:paraId="6C2608BE"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0.0198</w:t>
            </w:r>
          </w:p>
        </w:tc>
        <w:tc>
          <w:tcPr>
            <w:tcW w:w="0" w:type="auto"/>
            <w:tcBorders>
              <w:top w:val="nil"/>
              <w:left w:val="nil"/>
              <w:bottom w:val="nil"/>
              <w:right w:val="nil"/>
            </w:tcBorders>
            <w:shd w:val="clear" w:color="auto" w:fill="auto"/>
            <w:noWrap/>
            <w:vAlign w:val="center"/>
          </w:tcPr>
          <w:p w14:paraId="0A2A43B5"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(1.4828)</w:t>
            </w:r>
          </w:p>
        </w:tc>
        <w:tc>
          <w:tcPr>
            <w:tcW w:w="0" w:type="auto"/>
            <w:tcBorders>
              <w:top w:val="nil"/>
              <w:left w:val="nil"/>
              <w:bottom w:val="nil"/>
              <w:right w:val="nil"/>
            </w:tcBorders>
            <w:shd w:val="clear" w:color="auto" w:fill="auto"/>
            <w:noWrap/>
            <w:vAlign w:val="center"/>
          </w:tcPr>
          <w:p w14:paraId="127432C6"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0.0137</w:t>
            </w:r>
          </w:p>
        </w:tc>
        <w:tc>
          <w:tcPr>
            <w:tcW w:w="0" w:type="auto"/>
            <w:tcBorders>
              <w:top w:val="nil"/>
              <w:left w:val="nil"/>
              <w:bottom w:val="nil"/>
              <w:right w:val="nil"/>
            </w:tcBorders>
            <w:shd w:val="clear" w:color="auto" w:fill="auto"/>
            <w:noWrap/>
            <w:vAlign w:val="center"/>
          </w:tcPr>
          <w:p w14:paraId="0ECC9C5E"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(0.8136)</w:t>
            </w:r>
          </w:p>
        </w:tc>
      </w:tr>
      <w:tr w:rsidR="0065555D" w:rsidRPr="003A4247" w14:paraId="3CE8C0AF"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7E0CDDDD" w14:textId="77777777" w:rsidR="0065555D" w:rsidRPr="003A4247" w:rsidRDefault="0065555D" w:rsidP="007049D5">
            <w:pPr>
              <w:spacing w:after="0" w:line="240" w:lineRule="auto"/>
              <w:jc w:val="left"/>
              <w:rPr>
                <w:rFonts w:eastAsia="Times New Roman" w:cs="Times New Roman"/>
                <w:sz w:val="20"/>
                <w:szCs w:val="20"/>
              </w:rPr>
            </w:pPr>
            <w:r w:rsidRPr="003A4247">
              <w:rPr>
                <w:rFonts w:eastAsia="Times New Roman" w:cs="Times New Roman"/>
                <w:sz w:val="20"/>
                <w:szCs w:val="20"/>
              </w:rPr>
              <w:t>D(HHI quantile=3)</w:t>
            </w:r>
            <w:r w:rsidRPr="003A4247">
              <w:rPr>
                <w:rFonts w:eastAsia="Times New Roman" w:cs="Times New Roman"/>
                <w:color w:val="000000"/>
                <w:sz w:val="20"/>
                <w:szCs w:val="20"/>
              </w:rPr>
              <w:t xml:space="preserve"> × D(L1 Rollover)</w:t>
            </w:r>
          </w:p>
        </w:tc>
        <w:tc>
          <w:tcPr>
            <w:tcW w:w="0" w:type="auto"/>
            <w:tcBorders>
              <w:top w:val="nil"/>
              <w:left w:val="nil"/>
              <w:bottom w:val="nil"/>
              <w:right w:val="nil"/>
            </w:tcBorders>
            <w:shd w:val="clear" w:color="auto" w:fill="auto"/>
            <w:noWrap/>
            <w:vAlign w:val="center"/>
          </w:tcPr>
          <w:p w14:paraId="4EA86DEE" w14:textId="77777777" w:rsidR="0065555D" w:rsidRPr="003A4247"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tcPr>
          <w:p w14:paraId="2E8E2D09" w14:textId="77777777" w:rsidR="0065555D" w:rsidRPr="003A4247"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tcPr>
          <w:p w14:paraId="1F62897D"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0.0090</w:t>
            </w:r>
          </w:p>
        </w:tc>
        <w:tc>
          <w:tcPr>
            <w:tcW w:w="0" w:type="auto"/>
            <w:tcBorders>
              <w:top w:val="nil"/>
              <w:left w:val="nil"/>
              <w:bottom w:val="nil"/>
              <w:right w:val="nil"/>
            </w:tcBorders>
            <w:shd w:val="clear" w:color="auto" w:fill="auto"/>
            <w:noWrap/>
            <w:vAlign w:val="center"/>
          </w:tcPr>
          <w:p w14:paraId="2241445F"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(0.6199)</w:t>
            </w:r>
          </w:p>
        </w:tc>
      </w:tr>
      <w:tr w:rsidR="0065555D" w:rsidRPr="003A4247" w14:paraId="1645171D"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4834E10D" w14:textId="77777777" w:rsidR="0065555D" w:rsidRPr="003A4247" w:rsidRDefault="0065555D" w:rsidP="007049D5">
            <w:pPr>
              <w:spacing w:after="0" w:line="240" w:lineRule="auto"/>
              <w:jc w:val="left"/>
              <w:rPr>
                <w:rFonts w:eastAsia="Times New Roman" w:cs="Times New Roman"/>
                <w:sz w:val="20"/>
                <w:szCs w:val="20"/>
              </w:rPr>
            </w:pPr>
            <w:r w:rsidRPr="003A4247">
              <w:rPr>
                <w:rFonts w:eastAsia="Times New Roman" w:cs="Times New Roman"/>
                <w:sz w:val="20"/>
                <w:szCs w:val="20"/>
              </w:rPr>
              <w:t>D(HHI quantile=4)</w:t>
            </w:r>
          </w:p>
        </w:tc>
        <w:tc>
          <w:tcPr>
            <w:tcW w:w="0" w:type="auto"/>
            <w:tcBorders>
              <w:top w:val="nil"/>
              <w:left w:val="nil"/>
              <w:bottom w:val="nil"/>
              <w:right w:val="nil"/>
            </w:tcBorders>
            <w:shd w:val="clear" w:color="auto" w:fill="auto"/>
            <w:noWrap/>
            <w:vAlign w:val="center"/>
          </w:tcPr>
          <w:p w14:paraId="2FAA83A5"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-0.0148</w:t>
            </w:r>
          </w:p>
        </w:tc>
        <w:tc>
          <w:tcPr>
            <w:tcW w:w="0" w:type="auto"/>
            <w:tcBorders>
              <w:top w:val="nil"/>
              <w:left w:val="nil"/>
              <w:bottom w:val="nil"/>
              <w:right w:val="nil"/>
            </w:tcBorders>
            <w:shd w:val="clear" w:color="auto" w:fill="auto"/>
            <w:noWrap/>
            <w:vAlign w:val="center"/>
          </w:tcPr>
          <w:p w14:paraId="3B891534"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(-1.1335)</w:t>
            </w:r>
          </w:p>
        </w:tc>
        <w:tc>
          <w:tcPr>
            <w:tcW w:w="0" w:type="auto"/>
            <w:tcBorders>
              <w:top w:val="nil"/>
              <w:left w:val="nil"/>
              <w:bottom w:val="nil"/>
              <w:right w:val="nil"/>
            </w:tcBorders>
            <w:shd w:val="clear" w:color="auto" w:fill="auto"/>
            <w:noWrap/>
            <w:vAlign w:val="center"/>
          </w:tcPr>
          <w:p w14:paraId="14FF3194"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-0.0457</w:t>
            </w:r>
          </w:p>
        </w:tc>
        <w:tc>
          <w:tcPr>
            <w:tcW w:w="0" w:type="auto"/>
            <w:tcBorders>
              <w:top w:val="nil"/>
              <w:left w:val="nil"/>
              <w:bottom w:val="nil"/>
              <w:right w:val="nil"/>
            </w:tcBorders>
            <w:shd w:val="clear" w:color="auto" w:fill="auto"/>
            <w:noWrap/>
            <w:vAlign w:val="center"/>
          </w:tcPr>
          <w:p w14:paraId="1D1DAB66"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(-2.5643)</w:t>
            </w:r>
          </w:p>
        </w:tc>
      </w:tr>
      <w:tr w:rsidR="0065555D" w:rsidRPr="003A4247" w14:paraId="55698FD2"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739469B5" w14:textId="77777777" w:rsidR="0065555D" w:rsidRPr="003A4247" w:rsidRDefault="0065555D" w:rsidP="007049D5">
            <w:pPr>
              <w:spacing w:after="0" w:line="240" w:lineRule="auto"/>
              <w:jc w:val="left"/>
              <w:rPr>
                <w:rFonts w:eastAsia="Times New Roman" w:cs="Times New Roman"/>
                <w:sz w:val="20"/>
                <w:szCs w:val="20"/>
              </w:rPr>
            </w:pPr>
            <w:r w:rsidRPr="003A4247">
              <w:rPr>
                <w:rFonts w:eastAsia="Times New Roman" w:cs="Times New Roman"/>
                <w:sz w:val="20"/>
                <w:szCs w:val="20"/>
              </w:rPr>
              <w:t>D(HHI quantile=4)</w:t>
            </w:r>
            <w:r w:rsidRPr="003A4247">
              <w:rPr>
                <w:rFonts w:eastAsia="Times New Roman" w:cs="Times New Roman"/>
                <w:color w:val="000000"/>
                <w:sz w:val="20"/>
                <w:szCs w:val="20"/>
              </w:rPr>
              <w:t xml:space="preserve"> × D(L1 Rollover)</w:t>
            </w:r>
          </w:p>
        </w:tc>
        <w:tc>
          <w:tcPr>
            <w:tcW w:w="0" w:type="auto"/>
            <w:tcBorders>
              <w:top w:val="nil"/>
              <w:left w:val="nil"/>
              <w:bottom w:val="nil"/>
              <w:right w:val="nil"/>
            </w:tcBorders>
            <w:shd w:val="clear" w:color="auto" w:fill="auto"/>
            <w:noWrap/>
            <w:vAlign w:val="center"/>
          </w:tcPr>
          <w:p w14:paraId="1FA82B1C" w14:textId="77777777" w:rsidR="0065555D" w:rsidRPr="003A4247"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tcPr>
          <w:p w14:paraId="118A8972" w14:textId="77777777" w:rsidR="0065555D" w:rsidRPr="003A4247"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tcPr>
          <w:p w14:paraId="0AC79DB4"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0.0497</w:t>
            </w:r>
          </w:p>
        </w:tc>
        <w:tc>
          <w:tcPr>
            <w:tcW w:w="0" w:type="auto"/>
            <w:tcBorders>
              <w:top w:val="nil"/>
              <w:left w:val="nil"/>
              <w:bottom w:val="nil"/>
              <w:right w:val="nil"/>
            </w:tcBorders>
            <w:shd w:val="clear" w:color="auto" w:fill="auto"/>
            <w:noWrap/>
            <w:vAlign w:val="center"/>
          </w:tcPr>
          <w:p w14:paraId="26F9BA37"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(3.4669)</w:t>
            </w:r>
          </w:p>
        </w:tc>
      </w:tr>
      <w:tr w:rsidR="0065555D" w:rsidRPr="003A4247" w14:paraId="1A18C829"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4DBF3BD6" w14:textId="77777777" w:rsidR="0065555D" w:rsidRPr="003A4247" w:rsidRDefault="0065555D" w:rsidP="007049D5">
            <w:pPr>
              <w:spacing w:after="0" w:line="240" w:lineRule="auto"/>
              <w:jc w:val="left"/>
              <w:rPr>
                <w:rFonts w:eastAsia="Times New Roman" w:cs="Times New Roman"/>
                <w:sz w:val="20"/>
                <w:szCs w:val="20"/>
              </w:rPr>
            </w:pPr>
            <w:r w:rsidRPr="003A4247">
              <w:rPr>
                <w:rFonts w:eastAsia="Times New Roman" w:cs="Times New Roman"/>
                <w:sz w:val="20"/>
                <w:szCs w:val="20"/>
              </w:rPr>
              <w:t>D(HHI quantile=5)</w:t>
            </w:r>
          </w:p>
        </w:tc>
        <w:tc>
          <w:tcPr>
            <w:tcW w:w="0" w:type="auto"/>
            <w:tcBorders>
              <w:top w:val="nil"/>
              <w:left w:val="nil"/>
              <w:bottom w:val="nil"/>
              <w:right w:val="nil"/>
            </w:tcBorders>
            <w:shd w:val="clear" w:color="auto" w:fill="auto"/>
            <w:noWrap/>
            <w:vAlign w:val="center"/>
          </w:tcPr>
          <w:p w14:paraId="3C6764B2"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-0.0244</w:t>
            </w:r>
          </w:p>
        </w:tc>
        <w:tc>
          <w:tcPr>
            <w:tcW w:w="0" w:type="auto"/>
            <w:tcBorders>
              <w:top w:val="nil"/>
              <w:left w:val="nil"/>
              <w:bottom w:val="nil"/>
              <w:right w:val="nil"/>
            </w:tcBorders>
            <w:shd w:val="clear" w:color="auto" w:fill="auto"/>
            <w:noWrap/>
            <w:vAlign w:val="center"/>
          </w:tcPr>
          <w:p w14:paraId="658EE657"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(-1.7599)</w:t>
            </w:r>
          </w:p>
        </w:tc>
        <w:tc>
          <w:tcPr>
            <w:tcW w:w="0" w:type="auto"/>
            <w:tcBorders>
              <w:top w:val="nil"/>
              <w:left w:val="nil"/>
              <w:bottom w:val="nil"/>
              <w:right w:val="nil"/>
            </w:tcBorders>
            <w:shd w:val="clear" w:color="auto" w:fill="auto"/>
            <w:noWrap/>
            <w:vAlign w:val="center"/>
          </w:tcPr>
          <w:p w14:paraId="3627841A"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-0.0453</w:t>
            </w:r>
          </w:p>
        </w:tc>
        <w:tc>
          <w:tcPr>
            <w:tcW w:w="0" w:type="auto"/>
            <w:tcBorders>
              <w:top w:val="nil"/>
              <w:left w:val="nil"/>
              <w:bottom w:val="nil"/>
              <w:right w:val="nil"/>
            </w:tcBorders>
            <w:shd w:val="clear" w:color="auto" w:fill="auto"/>
            <w:noWrap/>
            <w:vAlign w:val="center"/>
          </w:tcPr>
          <w:p w14:paraId="2503B3E3"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(-2.9256)</w:t>
            </w:r>
          </w:p>
        </w:tc>
      </w:tr>
      <w:tr w:rsidR="0065555D" w:rsidRPr="003A4247" w14:paraId="35949086"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43C38551" w14:textId="77777777" w:rsidR="0065555D" w:rsidRPr="003A4247" w:rsidRDefault="0065555D" w:rsidP="007049D5">
            <w:pPr>
              <w:spacing w:after="0" w:line="240" w:lineRule="auto"/>
              <w:jc w:val="left"/>
              <w:rPr>
                <w:rFonts w:eastAsia="Times New Roman" w:cs="Times New Roman"/>
                <w:sz w:val="20"/>
                <w:szCs w:val="20"/>
              </w:rPr>
            </w:pPr>
            <w:r w:rsidRPr="003A4247">
              <w:rPr>
                <w:rFonts w:eastAsia="Times New Roman" w:cs="Times New Roman"/>
                <w:sz w:val="20"/>
                <w:szCs w:val="20"/>
              </w:rPr>
              <w:t>D(HHI quantile=5)</w:t>
            </w:r>
            <w:r w:rsidRPr="003A4247">
              <w:rPr>
                <w:rFonts w:eastAsia="Times New Roman" w:cs="Times New Roman"/>
                <w:color w:val="000000"/>
                <w:sz w:val="20"/>
                <w:szCs w:val="20"/>
              </w:rPr>
              <w:t xml:space="preserve"> × D(L1 Rollover)</w:t>
            </w:r>
          </w:p>
        </w:tc>
        <w:tc>
          <w:tcPr>
            <w:tcW w:w="0" w:type="auto"/>
            <w:tcBorders>
              <w:top w:val="nil"/>
              <w:left w:val="nil"/>
              <w:bottom w:val="nil"/>
              <w:right w:val="nil"/>
            </w:tcBorders>
            <w:shd w:val="clear" w:color="auto" w:fill="auto"/>
            <w:noWrap/>
            <w:vAlign w:val="center"/>
          </w:tcPr>
          <w:p w14:paraId="3EDE45A6" w14:textId="77777777" w:rsidR="0065555D" w:rsidRPr="003A4247"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tcPr>
          <w:p w14:paraId="7022C73F" w14:textId="77777777" w:rsidR="0065555D" w:rsidRPr="003A4247"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tcPr>
          <w:p w14:paraId="0142A2D8"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0.0468</w:t>
            </w:r>
          </w:p>
        </w:tc>
        <w:tc>
          <w:tcPr>
            <w:tcW w:w="0" w:type="auto"/>
            <w:tcBorders>
              <w:top w:val="nil"/>
              <w:left w:val="nil"/>
              <w:bottom w:val="nil"/>
              <w:right w:val="nil"/>
            </w:tcBorders>
            <w:shd w:val="clear" w:color="auto" w:fill="auto"/>
            <w:noWrap/>
            <w:vAlign w:val="center"/>
          </w:tcPr>
          <w:p w14:paraId="746DDBC2"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(3.8630)</w:t>
            </w:r>
          </w:p>
        </w:tc>
      </w:tr>
      <w:tr w:rsidR="0065555D" w:rsidRPr="003A4247" w14:paraId="460E8E75"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1F792B0A" w14:textId="77777777" w:rsidR="0065555D" w:rsidRPr="003A4247" w:rsidRDefault="0065555D" w:rsidP="007049D5">
            <w:pPr>
              <w:spacing w:after="0" w:line="240" w:lineRule="auto"/>
              <w:jc w:val="left"/>
              <w:rPr>
                <w:rFonts w:eastAsia="Times New Roman" w:cs="Times New Roman"/>
                <w:sz w:val="20"/>
                <w:szCs w:val="20"/>
              </w:rPr>
            </w:pPr>
            <w:r w:rsidRPr="003A4247">
              <w:rPr>
                <w:rFonts w:eastAsia="Times New Roman" w:cs="Times New Roman"/>
                <w:sz w:val="20"/>
                <w:szCs w:val="20"/>
              </w:rPr>
              <w:t>D(HHI quantile=6)</w:t>
            </w:r>
            <w:r w:rsidRPr="003A4247">
              <w:rPr>
                <w:rFonts w:eastAsia="Times New Roman" w:cs="Times New Roman"/>
                <w:color w:val="000000"/>
                <w:sz w:val="20"/>
                <w:szCs w:val="20"/>
              </w:rPr>
              <w:t xml:space="preserve"> × D(L1 Rollover)</w:t>
            </w:r>
          </w:p>
        </w:tc>
        <w:tc>
          <w:tcPr>
            <w:tcW w:w="0" w:type="auto"/>
            <w:tcBorders>
              <w:top w:val="nil"/>
              <w:left w:val="nil"/>
              <w:bottom w:val="nil"/>
              <w:right w:val="nil"/>
            </w:tcBorders>
            <w:shd w:val="clear" w:color="auto" w:fill="auto"/>
            <w:noWrap/>
            <w:vAlign w:val="center"/>
          </w:tcPr>
          <w:p w14:paraId="0674E79E" w14:textId="77777777" w:rsidR="0065555D" w:rsidRPr="003A4247"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tcPr>
          <w:p w14:paraId="4DE648BA" w14:textId="77777777" w:rsidR="0065555D" w:rsidRPr="003A4247"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tcPr>
          <w:p w14:paraId="1680E77B"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0.0109</w:t>
            </w:r>
          </w:p>
        </w:tc>
        <w:tc>
          <w:tcPr>
            <w:tcW w:w="0" w:type="auto"/>
            <w:tcBorders>
              <w:top w:val="nil"/>
              <w:left w:val="nil"/>
              <w:bottom w:val="nil"/>
              <w:right w:val="nil"/>
            </w:tcBorders>
            <w:shd w:val="clear" w:color="auto" w:fill="auto"/>
            <w:noWrap/>
            <w:vAlign w:val="center"/>
          </w:tcPr>
          <w:p w14:paraId="6A3D2057"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(0.4940)</w:t>
            </w:r>
          </w:p>
        </w:tc>
      </w:tr>
      <w:tr w:rsidR="0065555D" w:rsidRPr="003A4247" w14:paraId="1D2ED516"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377C0B13" w14:textId="77777777" w:rsidR="0065555D" w:rsidRPr="003A4247" w:rsidRDefault="0065555D" w:rsidP="007049D5">
            <w:pPr>
              <w:spacing w:after="0" w:line="240" w:lineRule="auto"/>
              <w:jc w:val="left"/>
              <w:rPr>
                <w:rFonts w:eastAsia="Times New Roman" w:cs="Times New Roman"/>
                <w:sz w:val="20"/>
                <w:szCs w:val="20"/>
              </w:rPr>
            </w:pPr>
            <w:r w:rsidRPr="003A4247">
              <w:rPr>
                <w:rFonts w:eastAsia="Times New Roman" w:cs="Times New Roman"/>
                <w:color w:val="000000"/>
                <w:sz w:val="20"/>
                <w:szCs w:val="20"/>
              </w:rPr>
              <w:t>Log(</w:t>
            </w:r>
            <w:r>
              <w:rPr>
                <w:rFonts w:eastAsia="Times New Roman" w:cs="Times New Roman"/>
                <w:color w:val="000000"/>
                <w:sz w:val="20"/>
                <w:szCs w:val="20"/>
              </w:rPr>
              <w:t xml:space="preserve">Real </w:t>
            </w:r>
            <w:r w:rsidRPr="003A4247">
              <w:rPr>
                <w:rFonts w:eastAsia="Times New Roman" w:cs="Times New Roman"/>
                <w:color w:val="000000"/>
                <w:sz w:val="20"/>
                <w:szCs w:val="20"/>
              </w:rPr>
              <w:t>Property Value)</w:t>
            </w:r>
          </w:p>
        </w:tc>
        <w:tc>
          <w:tcPr>
            <w:tcW w:w="0" w:type="auto"/>
            <w:tcBorders>
              <w:top w:val="nil"/>
              <w:left w:val="nil"/>
              <w:bottom w:val="nil"/>
              <w:right w:val="nil"/>
            </w:tcBorders>
            <w:shd w:val="clear" w:color="auto" w:fill="auto"/>
            <w:noWrap/>
            <w:vAlign w:val="center"/>
          </w:tcPr>
          <w:p w14:paraId="2CC1B950"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-0.1220</w:t>
            </w:r>
          </w:p>
        </w:tc>
        <w:tc>
          <w:tcPr>
            <w:tcW w:w="0" w:type="auto"/>
            <w:tcBorders>
              <w:top w:val="nil"/>
              <w:left w:val="nil"/>
              <w:bottom w:val="nil"/>
              <w:right w:val="nil"/>
            </w:tcBorders>
            <w:shd w:val="clear" w:color="auto" w:fill="auto"/>
            <w:noWrap/>
            <w:vAlign w:val="center"/>
          </w:tcPr>
          <w:p w14:paraId="1EEEEAA3"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(-22.3860)</w:t>
            </w:r>
          </w:p>
        </w:tc>
        <w:tc>
          <w:tcPr>
            <w:tcW w:w="0" w:type="auto"/>
            <w:tcBorders>
              <w:top w:val="nil"/>
              <w:left w:val="nil"/>
              <w:bottom w:val="nil"/>
              <w:right w:val="nil"/>
            </w:tcBorders>
            <w:shd w:val="clear" w:color="auto" w:fill="auto"/>
            <w:noWrap/>
            <w:vAlign w:val="center"/>
          </w:tcPr>
          <w:p w14:paraId="4EAC2803"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-0.1190</w:t>
            </w:r>
          </w:p>
        </w:tc>
        <w:tc>
          <w:tcPr>
            <w:tcW w:w="0" w:type="auto"/>
            <w:tcBorders>
              <w:top w:val="nil"/>
              <w:left w:val="nil"/>
              <w:bottom w:val="nil"/>
              <w:right w:val="nil"/>
            </w:tcBorders>
            <w:shd w:val="clear" w:color="auto" w:fill="auto"/>
            <w:noWrap/>
            <w:vAlign w:val="center"/>
          </w:tcPr>
          <w:p w14:paraId="3D87C8CA"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(-21.1221)</w:t>
            </w:r>
          </w:p>
        </w:tc>
      </w:tr>
      <w:tr w:rsidR="0065555D" w:rsidRPr="003A4247" w14:paraId="65DEA976"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28B16F75" w14:textId="77777777" w:rsidR="0065555D" w:rsidRPr="003A4247" w:rsidRDefault="0065555D" w:rsidP="007049D5">
            <w:pPr>
              <w:spacing w:after="0" w:line="240" w:lineRule="auto"/>
              <w:jc w:val="left"/>
              <w:rPr>
                <w:rFonts w:eastAsia="Times New Roman" w:cs="Times New Roman"/>
                <w:sz w:val="20"/>
                <w:szCs w:val="20"/>
              </w:rPr>
            </w:pPr>
            <w:r w:rsidRPr="003A4247">
              <w:rPr>
                <w:rFonts w:eastAsia="Times New Roman" w:cs="Times New Roman"/>
                <w:sz w:val="20"/>
                <w:szCs w:val="20"/>
              </w:rPr>
              <w:t>LTV</w:t>
            </w:r>
          </w:p>
        </w:tc>
        <w:tc>
          <w:tcPr>
            <w:tcW w:w="0" w:type="auto"/>
            <w:tcBorders>
              <w:top w:val="nil"/>
              <w:left w:val="nil"/>
              <w:bottom w:val="nil"/>
              <w:right w:val="nil"/>
            </w:tcBorders>
            <w:shd w:val="clear" w:color="auto" w:fill="auto"/>
            <w:noWrap/>
            <w:vAlign w:val="center"/>
          </w:tcPr>
          <w:p w14:paraId="3A0D9367"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0.3323</w:t>
            </w:r>
          </w:p>
        </w:tc>
        <w:tc>
          <w:tcPr>
            <w:tcW w:w="0" w:type="auto"/>
            <w:tcBorders>
              <w:top w:val="nil"/>
              <w:left w:val="nil"/>
              <w:bottom w:val="nil"/>
              <w:right w:val="nil"/>
            </w:tcBorders>
            <w:shd w:val="clear" w:color="auto" w:fill="auto"/>
            <w:noWrap/>
            <w:vAlign w:val="center"/>
          </w:tcPr>
          <w:p w14:paraId="35DC9D3A"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(4.1420)</w:t>
            </w:r>
          </w:p>
        </w:tc>
        <w:tc>
          <w:tcPr>
            <w:tcW w:w="0" w:type="auto"/>
            <w:tcBorders>
              <w:top w:val="nil"/>
              <w:left w:val="nil"/>
              <w:bottom w:val="nil"/>
              <w:right w:val="nil"/>
            </w:tcBorders>
            <w:shd w:val="clear" w:color="auto" w:fill="auto"/>
            <w:noWrap/>
            <w:vAlign w:val="center"/>
          </w:tcPr>
          <w:p w14:paraId="6B88867F"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0.3403</w:t>
            </w:r>
          </w:p>
        </w:tc>
        <w:tc>
          <w:tcPr>
            <w:tcW w:w="0" w:type="auto"/>
            <w:tcBorders>
              <w:top w:val="nil"/>
              <w:left w:val="nil"/>
              <w:bottom w:val="nil"/>
              <w:right w:val="nil"/>
            </w:tcBorders>
            <w:shd w:val="clear" w:color="auto" w:fill="auto"/>
            <w:noWrap/>
            <w:vAlign w:val="center"/>
          </w:tcPr>
          <w:p w14:paraId="6F9C9A77"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(4.1902)</w:t>
            </w:r>
          </w:p>
        </w:tc>
      </w:tr>
      <w:tr w:rsidR="0065555D" w:rsidRPr="003A4247" w14:paraId="178A211A"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2A17F2CE" w14:textId="77777777" w:rsidR="0065555D" w:rsidRPr="003A4247" w:rsidRDefault="0065555D" w:rsidP="007049D5">
            <w:pPr>
              <w:spacing w:after="0" w:line="240" w:lineRule="auto"/>
              <w:jc w:val="left"/>
              <w:rPr>
                <w:rFonts w:eastAsia="Times New Roman" w:cs="Times New Roman"/>
                <w:sz w:val="20"/>
                <w:szCs w:val="20"/>
              </w:rPr>
            </w:pPr>
            <w:r w:rsidRPr="003A4247">
              <w:rPr>
                <w:rFonts w:eastAsia="Times New Roman" w:cs="Times New Roman"/>
                <w:sz w:val="20"/>
                <w:szCs w:val="20"/>
              </w:rPr>
              <w:t>D(LTV ≥ 0.70)</w:t>
            </w:r>
          </w:p>
        </w:tc>
        <w:tc>
          <w:tcPr>
            <w:tcW w:w="0" w:type="auto"/>
            <w:tcBorders>
              <w:top w:val="nil"/>
              <w:left w:val="nil"/>
              <w:bottom w:val="nil"/>
              <w:right w:val="nil"/>
            </w:tcBorders>
            <w:shd w:val="clear" w:color="auto" w:fill="auto"/>
            <w:noWrap/>
            <w:vAlign w:val="center"/>
          </w:tcPr>
          <w:p w14:paraId="73CA81A1"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0.0003</w:t>
            </w:r>
          </w:p>
        </w:tc>
        <w:tc>
          <w:tcPr>
            <w:tcW w:w="0" w:type="auto"/>
            <w:tcBorders>
              <w:top w:val="nil"/>
              <w:left w:val="nil"/>
              <w:bottom w:val="nil"/>
              <w:right w:val="nil"/>
            </w:tcBorders>
            <w:shd w:val="clear" w:color="auto" w:fill="auto"/>
            <w:noWrap/>
            <w:vAlign w:val="center"/>
          </w:tcPr>
          <w:p w14:paraId="3ADBF18E"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(0.0253)</w:t>
            </w:r>
          </w:p>
        </w:tc>
        <w:tc>
          <w:tcPr>
            <w:tcW w:w="0" w:type="auto"/>
            <w:tcBorders>
              <w:top w:val="nil"/>
              <w:left w:val="nil"/>
              <w:bottom w:val="nil"/>
              <w:right w:val="nil"/>
            </w:tcBorders>
            <w:shd w:val="clear" w:color="auto" w:fill="auto"/>
            <w:noWrap/>
            <w:vAlign w:val="center"/>
          </w:tcPr>
          <w:p w14:paraId="22CE9600"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0.0004</w:t>
            </w:r>
          </w:p>
        </w:tc>
        <w:tc>
          <w:tcPr>
            <w:tcW w:w="0" w:type="auto"/>
            <w:tcBorders>
              <w:top w:val="nil"/>
              <w:left w:val="nil"/>
              <w:bottom w:val="nil"/>
              <w:right w:val="nil"/>
            </w:tcBorders>
            <w:shd w:val="clear" w:color="auto" w:fill="auto"/>
            <w:noWrap/>
            <w:vAlign w:val="center"/>
          </w:tcPr>
          <w:p w14:paraId="6A5D476D"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(0.0414)</w:t>
            </w:r>
          </w:p>
        </w:tc>
      </w:tr>
      <w:tr w:rsidR="0065555D" w:rsidRPr="003A4247" w14:paraId="05CACCE3"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2924A9A1" w14:textId="77777777" w:rsidR="0065555D" w:rsidRPr="003A4247" w:rsidRDefault="0065555D" w:rsidP="007049D5">
            <w:pPr>
              <w:spacing w:after="0" w:line="240" w:lineRule="auto"/>
              <w:jc w:val="left"/>
              <w:rPr>
                <w:rFonts w:eastAsia="Times New Roman" w:cs="Times New Roman"/>
                <w:color w:val="000000"/>
                <w:sz w:val="20"/>
                <w:szCs w:val="20"/>
              </w:rPr>
            </w:pPr>
            <w:r w:rsidRPr="003A4247">
              <w:rPr>
                <w:rFonts w:eastAsia="Times New Roman" w:cs="Times New Roman"/>
                <w:color w:val="000000"/>
                <w:sz w:val="20"/>
                <w:szCs w:val="20"/>
              </w:rPr>
              <w:t>NOI / Prop Value</w:t>
            </w:r>
          </w:p>
        </w:tc>
        <w:tc>
          <w:tcPr>
            <w:tcW w:w="0" w:type="auto"/>
            <w:tcBorders>
              <w:top w:val="nil"/>
              <w:left w:val="nil"/>
              <w:bottom w:val="nil"/>
              <w:right w:val="nil"/>
            </w:tcBorders>
            <w:shd w:val="clear" w:color="auto" w:fill="auto"/>
            <w:noWrap/>
            <w:vAlign w:val="center"/>
          </w:tcPr>
          <w:p w14:paraId="7E8C4E64"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2.6403</w:t>
            </w:r>
          </w:p>
        </w:tc>
        <w:tc>
          <w:tcPr>
            <w:tcW w:w="0" w:type="auto"/>
            <w:tcBorders>
              <w:top w:val="nil"/>
              <w:left w:val="nil"/>
              <w:bottom w:val="nil"/>
              <w:right w:val="nil"/>
            </w:tcBorders>
            <w:shd w:val="clear" w:color="auto" w:fill="auto"/>
            <w:noWrap/>
            <w:vAlign w:val="center"/>
          </w:tcPr>
          <w:p w14:paraId="67A8486A"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(4.7957)</w:t>
            </w:r>
          </w:p>
        </w:tc>
        <w:tc>
          <w:tcPr>
            <w:tcW w:w="0" w:type="auto"/>
            <w:tcBorders>
              <w:top w:val="nil"/>
              <w:left w:val="nil"/>
              <w:bottom w:val="nil"/>
              <w:right w:val="nil"/>
            </w:tcBorders>
            <w:shd w:val="clear" w:color="auto" w:fill="auto"/>
            <w:noWrap/>
            <w:vAlign w:val="center"/>
          </w:tcPr>
          <w:p w14:paraId="3DEEEE8A"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2.6443</w:t>
            </w:r>
          </w:p>
        </w:tc>
        <w:tc>
          <w:tcPr>
            <w:tcW w:w="0" w:type="auto"/>
            <w:tcBorders>
              <w:top w:val="nil"/>
              <w:left w:val="nil"/>
              <w:bottom w:val="nil"/>
              <w:right w:val="nil"/>
            </w:tcBorders>
            <w:shd w:val="clear" w:color="auto" w:fill="auto"/>
            <w:noWrap/>
            <w:vAlign w:val="center"/>
          </w:tcPr>
          <w:p w14:paraId="1241EA6B"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(4.8115)</w:t>
            </w:r>
          </w:p>
        </w:tc>
      </w:tr>
      <w:tr w:rsidR="0065555D" w:rsidRPr="003A4247" w14:paraId="0D3E8CE8"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5022D4EA" w14:textId="77777777" w:rsidR="0065555D" w:rsidRPr="003A4247" w:rsidRDefault="0065555D" w:rsidP="007049D5">
            <w:pPr>
              <w:spacing w:after="0" w:line="240" w:lineRule="auto"/>
              <w:jc w:val="left"/>
              <w:rPr>
                <w:rFonts w:eastAsia="Times New Roman" w:cs="Times New Roman"/>
                <w:color w:val="000000"/>
                <w:sz w:val="20"/>
                <w:szCs w:val="20"/>
              </w:rPr>
            </w:pPr>
            <w:r w:rsidRPr="003A4247">
              <w:rPr>
                <w:rFonts w:eastAsia="Times New Roman" w:cs="Times New Roman"/>
                <w:color w:val="000000"/>
                <w:sz w:val="20"/>
                <w:szCs w:val="20"/>
              </w:rPr>
              <w:t>Amortization Rate</w:t>
            </w:r>
          </w:p>
        </w:tc>
        <w:tc>
          <w:tcPr>
            <w:tcW w:w="0" w:type="auto"/>
            <w:tcBorders>
              <w:top w:val="nil"/>
              <w:left w:val="nil"/>
              <w:bottom w:val="nil"/>
              <w:right w:val="nil"/>
            </w:tcBorders>
            <w:shd w:val="clear" w:color="auto" w:fill="auto"/>
            <w:noWrap/>
            <w:vAlign w:val="center"/>
          </w:tcPr>
          <w:p w14:paraId="634EF48A"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-0.2437</w:t>
            </w:r>
          </w:p>
        </w:tc>
        <w:tc>
          <w:tcPr>
            <w:tcW w:w="0" w:type="auto"/>
            <w:tcBorders>
              <w:top w:val="nil"/>
              <w:left w:val="nil"/>
              <w:bottom w:val="nil"/>
              <w:right w:val="nil"/>
            </w:tcBorders>
            <w:shd w:val="clear" w:color="auto" w:fill="auto"/>
            <w:noWrap/>
            <w:vAlign w:val="center"/>
          </w:tcPr>
          <w:p w14:paraId="670842AC"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(-4.9601)</w:t>
            </w:r>
          </w:p>
        </w:tc>
        <w:tc>
          <w:tcPr>
            <w:tcW w:w="0" w:type="auto"/>
            <w:tcBorders>
              <w:top w:val="nil"/>
              <w:left w:val="nil"/>
              <w:bottom w:val="nil"/>
              <w:right w:val="nil"/>
            </w:tcBorders>
            <w:shd w:val="clear" w:color="auto" w:fill="auto"/>
            <w:noWrap/>
            <w:vAlign w:val="center"/>
          </w:tcPr>
          <w:p w14:paraId="42F2B9F1"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-0.2442</w:t>
            </w:r>
          </w:p>
        </w:tc>
        <w:tc>
          <w:tcPr>
            <w:tcW w:w="0" w:type="auto"/>
            <w:tcBorders>
              <w:top w:val="nil"/>
              <w:left w:val="nil"/>
              <w:bottom w:val="nil"/>
              <w:right w:val="nil"/>
            </w:tcBorders>
            <w:shd w:val="clear" w:color="auto" w:fill="auto"/>
            <w:noWrap/>
            <w:vAlign w:val="center"/>
          </w:tcPr>
          <w:p w14:paraId="74D43D3F"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(-4.9379)</w:t>
            </w:r>
          </w:p>
        </w:tc>
      </w:tr>
      <w:tr w:rsidR="0065555D" w:rsidRPr="003A4247" w14:paraId="6037EC36"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33B04CDD" w14:textId="77777777" w:rsidR="0065555D" w:rsidRPr="003A4247" w:rsidRDefault="0065555D" w:rsidP="007049D5">
            <w:pPr>
              <w:spacing w:after="0" w:line="240" w:lineRule="auto"/>
              <w:jc w:val="left"/>
              <w:rPr>
                <w:rFonts w:eastAsia="Times New Roman" w:cs="Times New Roman"/>
                <w:color w:val="000000"/>
                <w:sz w:val="20"/>
                <w:szCs w:val="20"/>
              </w:rPr>
            </w:pPr>
            <w:r w:rsidRPr="003A4247">
              <w:rPr>
                <w:rFonts w:eastAsia="Times New Roman" w:cs="Times New Roman"/>
                <w:color w:val="000000"/>
                <w:sz w:val="20"/>
                <w:szCs w:val="20"/>
              </w:rPr>
              <w:t>Occupancy Rate</w:t>
            </w:r>
          </w:p>
        </w:tc>
        <w:tc>
          <w:tcPr>
            <w:tcW w:w="0" w:type="auto"/>
            <w:tcBorders>
              <w:top w:val="nil"/>
              <w:left w:val="nil"/>
              <w:bottom w:val="nil"/>
              <w:right w:val="nil"/>
            </w:tcBorders>
            <w:shd w:val="clear" w:color="auto" w:fill="auto"/>
            <w:noWrap/>
            <w:vAlign w:val="center"/>
          </w:tcPr>
          <w:p w14:paraId="0D81970D"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-0.0011</w:t>
            </w:r>
          </w:p>
        </w:tc>
        <w:tc>
          <w:tcPr>
            <w:tcW w:w="0" w:type="auto"/>
            <w:tcBorders>
              <w:top w:val="nil"/>
              <w:left w:val="nil"/>
              <w:bottom w:val="nil"/>
              <w:right w:val="nil"/>
            </w:tcBorders>
            <w:shd w:val="clear" w:color="auto" w:fill="auto"/>
            <w:noWrap/>
            <w:vAlign w:val="center"/>
          </w:tcPr>
          <w:p w14:paraId="3F8C7C41"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(-1.7827)</w:t>
            </w:r>
          </w:p>
        </w:tc>
        <w:tc>
          <w:tcPr>
            <w:tcW w:w="0" w:type="auto"/>
            <w:tcBorders>
              <w:top w:val="nil"/>
              <w:left w:val="nil"/>
              <w:bottom w:val="nil"/>
              <w:right w:val="nil"/>
            </w:tcBorders>
            <w:shd w:val="clear" w:color="auto" w:fill="auto"/>
            <w:noWrap/>
            <w:vAlign w:val="center"/>
          </w:tcPr>
          <w:p w14:paraId="0B879BBD"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-0.0013</w:t>
            </w:r>
          </w:p>
        </w:tc>
        <w:tc>
          <w:tcPr>
            <w:tcW w:w="0" w:type="auto"/>
            <w:tcBorders>
              <w:top w:val="nil"/>
              <w:left w:val="nil"/>
              <w:bottom w:val="nil"/>
              <w:right w:val="nil"/>
            </w:tcBorders>
            <w:shd w:val="clear" w:color="auto" w:fill="auto"/>
            <w:noWrap/>
            <w:vAlign w:val="center"/>
          </w:tcPr>
          <w:p w14:paraId="6C6E5821"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(-1.9829)</w:t>
            </w:r>
          </w:p>
        </w:tc>
      </w:tr>
      <w:tr w:rsidR="0065555D" w:rsidRPr="003A4247" w14:paraId="314BCAC7"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5C6DC821" w14:textId="77777777" w:rsidR="0065555D" w:rsidRPr="003A4247" w:rsidRDefault="0065555D" w:rsidP="007049D5">
            <w:pPr>
              <w:spacing w:after="0" w:line="240" w:lineRule="auto"/>
              <w:jc w:val="left"/>
              <w:rPr>
                <w:rFonts w:eastAsia="Times New Roman" w:cs="Times New Roman"/>
                <w:color w:val="000000"/>
                <w:sz w:val="20"/>
                <w:szCs w:val="20"/>
              </w:rPr>
            </w:pPr>
            <w:r w:rsidRPr="003A4247">
              <w:rPr>
                <w:rFonts w:eastAsia="Times New Roman" w:cs="Times New Roman"/>
                <w:color w:val="000000"/>
                <w:sz w:val="20"/>
                <w:szCs w:val="20"/>
              </w:rPr>
              <w:t>Log(Property Age)</w:t>
            </w:r>
          </w:p>
        </w:tc>
        <w:tc>
          <w:tcPr>
            <w:tcW w:w="0" w:type="auto"/>
            <w:tcBorders>
              <w:top w:val="nil"/>
              <w:left w:val="nil"/>
              <w:bottom w:val="nil"/>
              <w:right w:val="nil"/>
            </w:tcBorders>
            <w:shd w:val="clear" w:color="auto" w:fill="auto"/>
            <w:noWrap/>
            <w:vAlign w:val="center"/>
          </w:tcPr>
          <w:p w14:paraId="7AA38522"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0.0242</w:t>
            </w:r>
          </w:p>
        </w:tc>
        <w:tc>
          <w:tcPr>
            <w:tcW w:w="0" w:type="auto"/>
            <w:tcBorders>
              <w:top w:val="nil"/>
              <w:left w:val="nil"/>
              <w:bottom w:val="nil"/>
              <w:right w:val="nil"/>
            </w:tcBorders>
            <w:shd w:val="clear" w:color="auto" w:fill="auto"/>
            <w:noWrap/>
            <w:vAlign w:val="center"/>
          </w:tcPr>
          <w:p w14:paraId="6E375FD0"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(6.9522)</w:t>
            </w:r>
          </w:p>
        </w:tc>
        <w:tc>
          <w:tcPr>
            <w:tcW w:w="0" w:type="auto"/>
            <w:tcBorders>
              <w:top w:val="nil"/>
              <w:left w:val="nil"/>
              <w:bottom w:val="nil"/>
              <w:right w:val="nil"/>
            </w:tcBorders>
            <w:shd w:val="clear" w:color="auto" w:fill="auto"/>
            <w:noWrap/>
            <w:vAlign w:val="center"/>
          </w:tcPr>
          <w:p w14:paraId="5D638F25"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0.0226</w:t>
            </w:r>
          </w:p>
        </w:tc>
        <w:tc>
          <w:tcPr>
            <w:tcW w:w="0" w:type="auto"/>
            <w:tcBorders>
              <w:top w:val="nil"/>
              <w:left w:val="nil"/>
              <w:bottom w:val="nil"/>
              <w:right w:val="nil"/>
            </w:tcBorders>
            <w:shd w:val="clear" w:color="auto" w:fill="auto"/>
            <w:noWrap/>
            <w:vAlign w:val="center"/>
          </w:tcPr>
          <w:p w14:paraId="4F775D86"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(6.3645)</w:t>
            </w:r>
          </w:p>
        </w:tc>
      </w:tr>
      <w:tr w:rsidR="0065555D" w:rsidRPr="003A4247" w14:paraId="6541EBED"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43AEF9C0" w14:textId="77777777" w:rsidR="0065555D" w:rsidRPr="003A4247" w:rsidRDefault="0065555D" w:rsidP="007049D5">
            <w:pPr>
              <w:spacing w:after="0" w:line="240" w:lineRule="auto"/>
              <w:jc w:val="left"/>
              <w:rPr>
                <w:rFonts w:eastAsia="Times New Roman" w:cs="Times New Roman"/>
                <w:color w:val="000000"/>
                <w:sz w:val="20"/>
                <w:szCs w:val="20"/>
              </w:rPr>
            </w:pPr>
            <w:r w:rsidRPr="003A4247">
              <w:rPr>
                <w:rFonts w:eastAsia="Times New Roman" w:cs="Times New Roman"/>
                <w:color w:val="000000"/>
                <w:sz w:val="20"/>
                <w:szCs w:val="20"/>
              </w:rPr>
              <w:t>Years to Maturity</w:t>
            </w:r>
          </w:p>
        </w:tc>
        <w:tc>
          <w:tcPr>
            <w:tcW w:w="0" w:type="auto"/>
            <w:tcBorders>
              <w:top w:val="nil"/>
              <w:left w:val="nil"/>
              <w:bottom w:val="nil"/>
              <w:right w:val="nil"/>
            </w:tcBorders>
            <w:shd w:val="clear" w:color="auto" w:fill="auto"/>
            <w:noWrap/>
            <w:vAlign w:val="center"/>
          </w:tcPr>
          <w:p w14:paraId="2AB02334"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-0.0319</w:t>
            </w:r>
          </w:p>
        </w:tc>
        <w:tc>
          <w:tcPr>
            <w:tcW w:w="0" w:type="auto"/>
            <w:tcBorders>
              <w:top w:val="nil"/>
              <w:left w:val="nil"/>
              <w:bottom w:val="nil"/>
              <w:right w:val="nil"/>
            </w:tcBorders>
            <w:shd w:val="clear" w:color="auto" w:fill="auto"/>
            <w:noWrap/>
            <w:vAlign w:val="center"/>
          </w:tcPr>
          <w:p w14:paraId="42433D4F"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(-7.5326)</w:t>
            </w:r>
          </w:p>
        </w:tc>
        <w:tc>
          <w:tcPr>
            <w:tcW w:w="0" w:type="auto"/>
            <w:tcBorders>
              <w:top w:val="nil"/>
              <w:left w:val="nil"/>
              <w:bottom w:val="nil"/>
              <w:right w:val="nil"/>
            </w:tcBorders>
            <w:shd w:val="clear" w:color="auto" w:fill="auto"/>
            <w:noWrap/>
            <w:vAlign w:val="center"/>
          </w:tcPr>
          <w:p w14:paraId="2893DB1D"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-0.0326</w:t>
            </w:r>
          </w:p>
        </w:tc>
        <w:tc>
          <w:tcPr>
            <w:tcW w:w="0" w:type="auto"/>
            <w:tcBorders>
              <w:top w:val="nil"/>
              <w:left w:val="nil"/>
              <w:bottom w:val="nil"/>
              <w:right w:val="nil"/>
            </w:tcBorders>
            <w:shd w:val="clear" w:color="auto" w:fill="auto"/>
            <w:noWrap/>
            <w:vAlign w:val="center"/>
          </w:tcPr>
          <w:p w14:paraId="4B49B217" w14:textId="77777777" w:rsidR="0065555D" w:rsidRPr="003A4247" w:rsidRDefault="0065555D" w:rsidP="007049D5">
            <w:pPr>
              <w:spacing w:line="240" w:lineRule="auto"/>
              <w:jc w:val="center"/>
              <w:rPr>
                <w:rFonts w:cs="Times New Roman"/>
                <w:sz w:val="20"/>
                <w:szCs w:val="20"/>
              </w:rPr>
            </w:pPr>
            <w:r w:rsidRPr="003A4247">
              <w:rPr>
                <w:rFonts w:cs="Times New Roman"/>
                <w:sz w:val="20"/>
                <w:szCs w:val="20"/>
              </w:rPr>
              <w:t>(-7.6832)</w:t>
            </w:r>
          </w:p>
        </w:tc>
      </w:tr>
      <w:tr w:rsidR="0065555D" w:rsidRPr="003A4247" w14:paraId="092BDDF9" w14:textId="77777777" w:rsidTr="007049D5">
        <w:trPr>
          <w:trHeight w:val="264"/>
          <w:jc w:val="center"/>
        </w:trPr>
        <w:tc>
          <w:tcPr>
            <w:tcW w:w="0" w:type="auto"/>
            <w:tcBorders>
              <w:top w:val="nil"/>
              <w:left w:val="nil"/>
              <w:bottom w:val="nil"/>
              <w:right w:val="nil"/>
            </w:tcBorders>
            <w:shd w:val="clear" w:color="auto" w:fill="auto"/>
            <w:noWrap/>
            <w:vAlign w:val="bottom"/>
            <w:hideMark/>
          </w:tcPr>
          <w:p w14:paraId="2D04DF8E" w14:textId="77777777" w:rsidR="0065555D" w:rsidRPr="003A4247" w:rsidRDefault="0065555D" w:rsidP="00FB3903">
            <w:pPr>
              <w:spacing w:after="0" w:line="240" w:lineRule="auto"/>
              <w:jc w:val="center"/>
              <w:rPr>
                <w:rFonts w:eastAsia="Times New Roman" w:cs="Times New Roman"/>
                <w:sz w:val="20"/>
                <w:szCs w:val="20"/>
              </w:rPr>
            </w:pPr>
          </w:p>
        </w:tc>
        <w:tc>
          <w:tcPr>
            <w:tcW w:w="0" w:type="auto"/>
            <w:tcBorders>
              <w:top w:val="nil"/>
              <w:left w:val="nil"/>
              <w:bottom w:val="nil"/>
              <w:right w:val="nil"/>
            </w:tcBorders>
            <w:shd w:val="clear" w:color="auto" w:fill="auto"/>
            <w:noWrap/>
            <w:vAlign w:val="center"/>
            <w:hideMark/>
          </w:tcPr>
          <w:p w14:paraId="2F01191D" w14:textId="77777777" w:rsidR="0065555D" w:rsidRPr="003A4247" w:rsidRDefault="0065555D" w:rsidP="007049D5">
            <w:pPr>
              <w:spacing w:after="0" w:line="240" w:lineRule="auto"/>
              <w:jc w:val="center"/>
              <w:rPr>
                <w:rFonts w:eastAsia="Times New Roman" w:cs="Times New Roman"/>
                <w:sz w:val="20"/>
                <w:szCs w:val="20"/>
              </w:rPr>
            </w:pPr>
          </w:p>
        </w:tc>
        <w:tc>
          <w:tcPr>
            <w:tcW w:w="0" w:type="auto"/>
            <w:tcBorders>
              <w:top w:val="nil"/>
              <w:left w:val="nil"/>
              <w:bottom w:val="nil"/>
              <w:right w:val="nil"/>
            </w:tcBorders>
            <w:shd w:val="clear" w:color="auto" w:fill="auto"/>
            <w:noWrap/>
            <w:vAlign w:val="center"/>
            <w:hideMark/>
          </w:tcPr>
          <w:p w14:paraId="582D2ECC" w14:textId="77777777" w:rsidR="0065555D" w:rsidRPr="003A4247" w:rsidRDefault="0065555D" w:rsidP="007049D5">
            <w:pPr>
              <w:spacing w:after="0" w:line="240" w:lineRule="auto"/>
              <w:jc w:val="center"/>
              <w:rPr>
                <w:rFonts w:eastAsia="Times New Roman" w:cs="Times New Roman"/>
                <w:sz w:val="20"/>
                <w:szCs w:val="20"/>
              </w:rPr>
            </w:pPr>
          </w:p>
        </w:tc>
        <w:tc>
          <w:tcPr>
            <w:tcW w:w="0" w:type="auto"/>
            <w:tcBorders>
              <w:top w:val="nil"/>
              <w:left w:val="nil"/>
              <w:bottom w:val="nil"/>
              <w:right w:val="nil"/>
            </w:tcBorders>
            <w:shd w:val="clear" w:color="auto" w:fill="auto"/>
            <w:noWrap/>
            <w:vAlign w:val="center"/>
            <w:hideMark/>
          </w:tcPr>
          <w:p w14:paraId="586929F7" w14:textId="77777777" w:rsidR="0065555D" w:rsidRPr="003A4247" w:rsidRDefault="0065555D" w:rsidP="007049D5">
            <w:pPr>
              <w:spacing w:after="0" w:line="240" w:lineRule="auto"/>
              <w:jc w:val="center"/>
              <w:rPr>
                <w:rFonts w:eastAsia="Times New Roman" w:cs="Times New Roman"/>
                <w:sz w:val="20"/>
                <w:szCs w:val="20"/>
              </w:rPr>
            </w:pPr>
          </w:p>
        </w:tc>
        <w:tc>
          <w:tcPr>
            <w:tcW w:w="0" w:type="auto"/>
            <w:tcBorders>
              <w:top w:val="nil"/>
              <w:left w:val="nil"/>
              <w:bottom w:val="nil"/>
              <w:right w:val="nil"/>
            </w:tcBorders>
            <w:shd w:val="clear" w:color="auto" w:fill="auto"/>
            <w:noWrap/>
            <w:vAlign w:val="center"/>
            <w:hideMark/>
          </w:tcPr>
          <w:p w14:paraId="557BCB1C" w14:textId="77777777" w:rsidR="0065555D" w:rsidRPr="003A4247" w:rsidRDefault="0065555D" w:rsidP="007049D5">
            <w:pPr>
              <w:spacing w:after="0" w:line="240" w:lineRule="auto"/>
              <w:jc w:val="center"/>
              <w:rPr>
                <w:rFonts w:eastAsia="Times New Roman" w:cs="Times New Roman"/>
                <w:sz w:val="20"/>
                <w:szCs w:val="20"/>
              </w:rPr>
            </w:pPr>
          </w:p>
        </w:tc>
      </w:tr>
      <w:tr w:rsidR="0065555D" w:rsidRPr="003A4247" w14:paraId="729DD93E"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72EF430A" w14:textId="77777777" w:rsidR="0065555D" w:rsidRPr="003A4247" w:rsidRDefault="0065555D" w:rsidP="007049D5">
            <w:pPr>
              <w:spacing w:after="0" w:line="240" w:lineRule="auto"/>
              <w:jc w:val="left"/>
              <w:rPr>
                <w:rFonts w:eastAsia="Times New Roman" w:cs="Times New Roman"/>
                <w:sz w:val="20"/>
                <w:szCs w:val="20"/>
              </w:rPr>
            </w:pPr>
            <w:r w:rsidRPr="003A4247">
              <w:rPr>
                <w:rFonts w:eastAsia="Times New Roman" w:cs="Times New Roman"/>
                <w:sz w:val="20"/>
                <w:szCs w:val="20"/>
              </w:rPr>
              <w:t>Month FE</w:t>
            </w:r>
          </w:p>
        </w:tc>
        <w:tc>
          <w:tcPr>
            <w:tcW w:w="0" w:type="auto"/>
            <w:gridSpan w:val="2"/>
            <w:tcBorders>
              <w:top w:val="nil"/>
              <w:left w:val="nil"/>
              <w:bottom w:val="nil"/>
              <w:right w:val="nil"/>
            </w:tcBorders>
            <w:shd w:val="clear" w:color="auto" w:fill="auto"/>
            <w:noWrap/>
            <w:vAlign w:val="center"/>
            <w:hideMark/>
          </w:tcPr>
          <w:p w14:paraId="5FEBCF91" w14:textId="77777777" w:rsidR="0065555D" w:rsidRPr="003A4247" w:rsidRDefault="0065555D" w:rsidP="007049D5">
            <w:pPr>
              <w:spacing w:after="0" w:line="240" w:lineRule="auto"/>
              <w:jc w:val="center"/>
              <w:rPr>
                <w:rFonts w:eastAsia="Times New Roman" w:cs="Times New Roman"/>
                <w:sz w:val="20"/>
                <w:szCs w:val="20"/>
              </w:rPr>
            </w:pPr>
            <w:r w:rsidRPr="003A4247">
              <w:rPr>
                <w:rFonts w:eastAsia="Times New Roman" w:cs="Times New Roman"/>
                <w:sz w:val="20"/>
                <w:szCs w:val="20"/>
              </w:rPr>
              <w:t>Yes</w:t>
            </w:r>
          </w:p>
        </w:tc>
        <w:tc>
          <w:tcPr>
            <w:tcW w:w="0" w:type="auto"/>
            <w:gridSpan w:val="2"/>
            <w:tcBorders>
              <w:top w:val="nil"/>
              <w:left w:val="nil"/>
              <w:bottom w:val="nil"/>
              <w:right w:val="nil"/>
            </w:tcBorders>
            <w:shd w:val="clear" w:color="auto" w:fill="auto"/>
            <w:noWrap/>
            <w:vAlign w:val="center"/>
            <w:hideMark/>
          </w:tcPr>
          <w:p w14:paraId="7486CE1B" w14:textId="77777777" w:rsidR="0065555D" w:rsidRPr="003A4247" w:rsidRDefault="0065555D" w:rsidP="007049D5">
            <w:pPr>
              <w:spacing w:after="0" w:line="240" w:lineRule="auto"/>
              <w:jc w:val="center"/>
              <w:rPr>
                <w:rFonts w:eastAsia="Times New Roman" w:cs="Times New Roman"/>
                <w:sz w:val="20"/>
                <w:szCs w:val="20"/>
              </w:rPr>
            </w:pPr>
            <w:r w:rsidRPr="003A4247">
              <w:rPr>
                <w:rFonts w:eastAsia="Times New Roman" w:cs="Times New Roman"/>
                <w:sz w:val="20"/>
                <w:szCs w:val="20"/>
              </w:rPr>
              <w:t>Yes</w:t>
            </w:r>
          </w:p>
        </w:tc>
      </w:tr>
      <w:tr w:rsidR="0065555D" w:rsidRPr="003A4247" w14:paraId="3065A446"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2CA40E0B" w14:textId="77777777" w:rsidR="0065555D" w:rsidRPr="003A4247" w:rsidRDefault="0065555D" w:rsidP="007049D5">
            <w:pPr>
              <w:spacing w:after="0" w:line="240" w:lineRule="auto"/>
              <w:jc w:val="left"/>
              <w:rPr>
                <w:rFonts w:eastAsia="Times New Roman" w:cs="Times New Roman"/>
                <w:sz w:val="20"/>
                <w:szCs w:val="20"/>
              </w:rPr>
            </w:pPr>
            <w:r w:rsidRPr="003A4247">
              <w:rPr>
                <w:rFonts w:eastAsia="Times New Roman" w:cs="Times New Roman"/>
                <w:sz w:val="20"/>
                <w:szCs w:val="20"/>
              </w:rPr>
              <w:t>N</w:t>
            </w:r>
          </w:p>
        </w:tc>
        <w:tc>
          <w:tcPr>
            <w:tcW w:w="0" w:type="auto"/>
            <w:gridSpan w:val="2"/>
            <w:tcBorders>
              <w:top w:val="nil"/>
              <w:left w:val="nil"/>
              <w:bottom w:val="nil"/>
              <w:right w:val="nil"/>
            </w:tcBorders>
            <w:shd w:val="clear" w:color="auto" w:fill="auto"/>
            <w:noWrap/>
            <w:vAlign w:val="center"/>
          </w:tcPr>
          <w:p w14:paraId="2CBB92D7" w14:textId="77777777" w:rsidR="0065555D" w:rsidRPr="003A4247" w:rsidRDefault="0065555D" w:rsidP="007049D5">
            <w:pPr>
              <w:spacing w:line="240" w:lineRule="auto"/>
              <w:jc w:val="center"/>
              <w:rPr>
                <w:rFonts w:eastAsia="MS Mincho" w:cs="Times New Roman"/>
                <w:sz w:val="20"/>
                <w:szCs w:val="20"/>
              </w:rPr>
            </w:pPr>
            <w:r w:rsidRPr="003A4247">
              <w:rPr>
                <w:rFonts w:eastAsia="MS Mincho" w:cs="Times New Roman"/>
                <w:sz w:val="20"/>
                <w:szCs w:val="20"/>
              </w:rPr>
              <w:t>17,390</w:t>
            </w:r>
          </w:p>
        </w:tc>
        <w:tc>
          <w:tcPr>
            <w:tcW w:w="0" w:type="auto"/>
            <w:gridSpan w:val="2"/>
            <w:tcBorders>
              <w:top w:val="nil"/>
              <w:left w:val="nil"/>
              <w:bottom w:val="nil"/>
              <w:right w:val="nil"/>
            </w:tcBorders>
            <w:shd w:val="clear" w:color="auto" w:fill="auto"/>
            <w:noWrap/>
            <w:vAlign w:val="center"/>
          </w:tcPr>
          <w:p w14:paraId="32FD0997" w14:textId="77777777" w:rsidR="0065555D" w:rsidRPr="003A4247" w:rsidRDefault="0065555D" w:rsidP="007049D5">
            <w:pPr>
              <w:spacing w:line="240" w:lineRule="auto"/>
              <w:jc w:val="center"/>
              <w:rPr>
                <w:rFonts w:eastAsia="MS Mincho" w:cs="Times New Roman"/>
                <w:sz w:val="20"/>
                <w:szCs w:val="20"/>
              </w:rPr>
            </w:pPr>
            <w:r w:rsidRPr="003A4247">
              <w:rPr>
                <w:rFonts w:eastAsia="MS Mincho" w:cs="Times New Roman"/>
                <w:sz w:val="20"/>
                <w:szCs w:val="20"/>
              </w:rPr>
              <w:t>17,390</w:t>
            </w:r>
          </w:p>
        </w:tc>
      </w:tr>
      <w:tr w:rsidR="0065555D" w:rsidRPr="003A4247" w14:paraId="18D283F8" w14:textId="77777777" w:rsidTr="007049D5">
        <w:trPr>
          <w:trHeight w:val="264"/>
          <w:jc w:val="center"/>
        </w:trPr>
        <w:tc>
          <w:tcPr>
            <w:tcW w:w="0" w:type="auto"/>
            <w:tcBorders>
              <w:top w:val="nil"/>
              <w:left w:val="nil"/>
              <w:bottom w:val="single" w:sz="4" w:space="0" w:color="auto"/>
              <w:right w:val="nil"/>
            </w:tcBorders>
            <w:shd w:val="clear" w:color="auto" w:fill="auto"/>
            <w:noWrap/>
            <w:vAlign w:val="center"/>
            <w:hideMark/>
          </w:tcPr>
          <w:p w14:paraId="465BD0AB" w14:textId="77777777" w:rsidR="0065555D" w:rsidRPr="003A4247" w:rsidRDefault="0065555D" w:rsidP="007049D5">
            <w:pPr>
              <w:spacing w:after="0" w:line="240" w:lineRule="auto"/>
              <w:jc w:val="left"/>
              <w:rPr>
                <w:rFonts w:eastAsia="Times New Roman" w:cs="Times New Roman"/>
                <w:sz w:val="20"/>
                <w:szCs w:val="20"/>
              </w:rPr>
            </w:pPr>
            <w:r w:rsidRPr="003A4247">
              <w:rPr>
                <w:rFonts w:eastAsia="Times New Roman" w:cs="Times New Roman"/>
                <w:sz w:val="20"/>
                <w:szCs w:val="20"/>
              </w:rPr>
              <w:t>R-squared</w:t>
            </w:r>
          </w:p>
        </w:tc>
        <w:tc>
          <w:tcPr>
            <w:tcW w:w="0" w:type="auto"/>
            <w:gridSpan w:val="2"/>
            <w:tcBorders>
              <w:top w:val="nil"/>
              <w:left w:val="nil"/>
              <w:bottom w:val="single" w:sz="4" w:space="0" w:color="auto"/>
              <w:right w:val="nil"/>
            </w:tcBorders>
            <w:shd w:val="clear" w:color="auto" w:fill="auto"/>
            <w:noWrap/>
            <w:vAlign w:val="center"/>
          </w:tcPr>
          <w:p w14:paraId="4B6115A6" w14:textId="77777777" w:rsidR="0065555D" w:rsidRPr="003A4247" w:rsidRDefault="0065555D" w:rsidP="007049D5">
            <w:pPr>
              <w:spacing w:line="240" w:lineRule="auto"/>
              <w:jc w:val="center"/>
              <w:rPr>
                <w:rFonts w:eastAsia="MS Mincho" w:cs="Times New Roman"/>
                <w:sz w:val="20"/>
                <w:szCs w:val="20"/>
              </w:rPr>
            </w:pPr>
            <w:r w:rsidRPr="003A4247">
              <w:rPr>
                <w:rFonts w:eastAsia="MS Mincho" w:cs="Times New Roman"/>
                <w:sz w:val="20"/>
                <w:szCs w:val="20"/>
              </w:rPr>
              <w:t>0.1</w:t>
            </w:r>
            <w:r>
              <w:rPr>
                <w:rFonts w:eastAsia="MS Mincho" w:cs="Times New Roman"/>
                <w:sz w:val="20"/>
                <w:szCs w:val="20"/>
              </w:rPr>
              <w:t>714</w:t>
            </w:r>
          </w:p>
        </w:tc>
        <w:tc>
          <w:tcPr>
            <w:tcW w:w="0" w:type="auto"/>
            <w:gridSpan w:val="2"/>
            <w:tcBorders>
              <w:top w:val="nil"/>
              <w:left w:val="nil"/>
              <w:bottom w:val="single" w:sz="4" w:space="0" w:color="auto"/>
              <w:right w:val="nil"/>
            </w:tcBorders>
            <w:shd w:val="clear" w:color="auto" w:fill="auto"/>
            <w:noWrap/>
            <w:vAlign w:val="center"/>
          </w:tcPr>
          <w:p w14:paraId="66885FDD" w14:textId="77777777" w:rsidR="0065555D" w:rsidRPr="003A4247" w:rsidRDefault="0065555D" w:rsidP="007049D5">
            <w:pPr>
              <w:spacing w:line="240" w:lineRule="auto"/>
              <w:jc w:val="center"/>
              <w:rPr>
                <w:rFonts w:eastAsia="MS Mincho" w:cs="Times New Roman"/>
                <w:sz w:val="20"/>
                <w:szCs w:val="20"/>
              </w:rPr>
            </w:pPr>
            <w:r w:rsidRPr="003A4247">
              <w:rPr>
                <w:rFonts w:eastAsia="MS Mincho" w:cs="Times New Roman"/>
                <w:sz w:val="20"/>
                <w:szCs w:val="20"/>
              </w:rPr>
              <w:t>0.1</w:t>
            </w:r>
            <w:r>
              <w:rPr>
                <w:rFonts w:eastAsia="MS Mincho" w:cs="Times New Roman"/>
                <w:sz w:val="20"/>
                <w:szCs w:val="20"/>
              </w:rPr>
              <w:t>727</w:t>
            </w:r>
          </w:p>
        </w:tc>
      </w:tr>
    </w:tbl>
    <w:p w14:paraId="5F1D7D09" w14:textId="77777777" w:rsidR="0065555D" w:rsidRDefault="0065555D" w:rsidP="00FB3903">
      <w:pPr>
        <w:spacing w:line="240" w:lineRule="auto"/>
      </w:pPr>
    </w:p>
    <w:p w14:paraId="0952A81A" w14:textId="77777777" w:rsidR="0065555D" w:rsidRDefault="0065555D" w:rsidP="00FB3903">
      <w:pPr>
        <w:spacing w:line="240" w:lineRule="auto"/>
      </w:pPr>
    </w:p>
    <w:p w14:paraId="43079B27" w14:textId="77777777" w:rsidR="0065555D" w:rsidRDefault="0065555D" w:rsidP="00FB3903">
      <w:pPr>
        <w:spacing w:line="240" w:lineRule="auto"/>
        <w:sectPr w:rsidR="0065555D" w:rsidSect="00FB3903">
          <w:pgSz w:w="12240" w:h="15840"/>
          <w:pgMar w:top="1440" w:right="1440" w:bottom="1440" w:left="1440" w:header="720" w:footer="720" w:gutter="0"/>
          <w:cols w:space="720"/>
          <w:docGrid w:linePitch="360"/>
        </w:sectPr>
      </w:pPr>
    </w:p>
    <w:p w14:paraId="15D7F95E" w14:textId="77777777" w:rsidR="0065555D" w:rsidRDefault="0065555D" w:rsidP="00FB3903">
      <w:pPr>
        <w:pStyle w:val="Caption"/>
        <w:spacing w:after="0"/>
      </w:pPr>
      <w:bookmarkStart w:id="7" w:name="_Ref413080073"/>
      <w:r>
        <w:t xml:space="preserve">Table </w:t>
      </w:r>
      <w:r>
        <w:rPr>
          <w:noProof/>
        </w:rPr>
        <w:t>6</w:t>
      </w:r>
      <w:bookmarkEnd w:id="7"/>
      <w:r>
        <w:t>: Two-Stage Least Squares Spread Regressions</w:t>
      </w:r>
    </w:p>
    <w:p w14:paraId="19864898" w14:textId="77777777" w:rsidR="0065555D" w:rsidRDefault="0065555D" w:rsidP="00FB3903">
      <w:pPr>
        <w:spacing w:line="240" w:lineRule="auto"/>
      </w:pPr>
      <w:r>
        <w:t xml:space="preserve">This table shows the results of a two-stage least squares procedure that is used to address the endogeneity between loan-to-value (LTV) and mortgage spreads. For a given loan, </w:t>
      </w:r>
      <w:r w:rsidRPr="0085437E">
        <w:t xml:space="preserve">the average of the LTV of all </w:t>
      </w:r>
      <w:r>
        <w:t xml:space="preserve">other loans </w:t>
      </w:r>
      <w:r w:rsidRPr="0085437E">
        <w:t xml:space="preserve">from the same originator is </w:t>
      </w:r>
      <w:r>
        <w:t>computed</w:t>
      </w:r>
      <w:r w:rsidRPr="0085437E">
        <w:t>.</w:t>
      </w:r>
      <w:r>
        <w:t xml:space="preserve"> This is used as an instrument for LTV. Panel A reports the results of the first stage LTV regressions. Panel B reports results from the second stage spread regressions that use the predicted LTV. </w:t>
      </w:r>
      <w:r w:rsidRPr="008C73FB">
        <w:rPr>
          <w:rFonts w:eastAsia="Times New Roman" w:cs="Times New Roman"/>
        </w:rPr>
        <w:t xml:space="preserve">The models include </w:t>
      </w:r>
      <w:r>
        <w:rPr>
          <w:rFonts w:eastAsia="Times New Roman" w:cs="Times New Roman"/>
        </w:rPr>
        <w:t>month</w:t>
      </w:r>
      <w:r w:rsidRPr="008C73FB">
        <w:rPr>
          <w:rFonts w:eastAsia="Times New Roman" w:cs="Times New Roman"/>
        </w:rPr>
        <w:t xml:space="preserve"> fixed effects, and standard errors are clustered by </w:t>
      </w:r>
      <w:r>
        <w:rPr>
          <w:rFonts w:eastAsia="Times New Roman" w:cs="Times New Roman"/>
        </w:rPr>
        <w:t>month</w:t>
      </w:r>
      <w:r w:rsidRPr="008C73FB">
        <w:rPr>
          <w:rFonts w:eastAsia="Times New Roman" w:cs="Times New Roman"/>
        </w:rPr>
        <w:t>.</w:t>
      </w:r>
      <w:r>
        <w:t xml:space="preserve"> </w:t>
      </w:r>
    </w:p>
    <w:p w14:paraId="4F9BA099" w14:textId="77777777" w:rsidR="0065555D" w:rsidRDefault="0065555D" w:rsidP="00FB3903">
      <w:pPr>
        <w:spacing w:line="240" w:lineRule="auto"/>
      </w:pPr>
    </w:p>
    <w:p w14:paraId="206CDBF6" w14:textId="77777777" w:rsidR="0065555D" w:rsidRDefault="0065555D" w:rsidP="00FB3903">
      <w:pPr>
        <w:spacing w:line="240" w:lineRule="auto"/>
        <w:jc w:val="center"/>
      </w:pPr>
      <w:r>
        <w:t>Panel A: First Stage LTV Regressions</w:t>
      </w:r>
    </w:p>
    <w:tbl>
      <w:tblPr>
        <w:tblW w:w="0" w:type="auto"/>
        <w:jc w:val="center"/>
        <w:tblCellMar>
          <w:left w:w="43" w:type="dxa"/>
          <w:right w:w="43" w:type="dxa"/>
        </w:tblCellMar>
        <w:tblLook w:val="04A0" w:firstRow="1" w:lastRow="0" w:firstColumn="1" w:lastColumn="0" w:noHBand="0" w:noVBand="1"/>
      </w:tblPr>
      <w:tblGrid>
        <w:gridCol w:w="2939"/>
        <w:gridCol w:w="703"/>
        <w:gridCol w:w="936"/>
        <w:gridCol w:w="703"/>
        <w:gridCol w:w="936"/>
      </w:tblGrid>
      <w:tr w:rsidR="0065555D" w:rsidRPr="004A1AA7" w14:paraId="0FAFB367" w14:textId="77777777" w:rsidTr="00FB3903">
        <w:trPr>
          <w:trHeight w:val="264"/>
          <w:jc w:val="center"/>
        </w:trPr>
        <w:tc>
          <w:tcPr>
            <w:tcW w:w="0" w:type="auto"/>
            <w:gridSpan w:val="5"/>
            <w:tcBorders>
              <w:top w:val="single" w:sz="4" w:space="0" w:color="auto"/>
              <w:left w:val="nil"/>
              <w:right w:val="nil"/>
            </w:tcBorders>
            <w:shd w:val="clear" w:color="auto" w:fill="auto"/>
            <w:noWrap/>
            <w:vAlign w:val="bottom"/>
          </w:tcPr>
          <w:p w14:paraId="0B3F1FB2" w14:textId="77777777" w:rsidR="0065555D" w:rsidRPr="004A1AA7" w:rsidRDefault="0065555D" w:rsidP="00FB3903">
            <w:pPr>
              <w:spacing w:after="0" w:line="240" w:lineRule="auto"/>
              <w:jc w:val="center"/>
              <w:rPr>
                <w:rFonts w:eastAsia="Times New Roman" w:cs="Times New Roman"/>
                <w:sz w:val="19"/>
                <w:szCs w:val="19"/>
              </w:rPr>
            </w:pPr>
            <w:r w:rsidRPr="004A1AA7">
              <w:rPr>
                <w:rFonts w:eastAsia="Times New Roman" w:cs="Times New Roman"/>
                <w:sz w:val="19"/>
                <w:szCs w:val="19"/>
              </w:rPr>
              <w:t>Dependent Variable = LTV</w:t>
            </w:r>
          </w:p>
        </w:tc>
      </w:tr>
      <w:tr w:rsidR="0065555D" w:rsidRPr="004A1AA7" w14:paraId="0E328A2A" w14:textId="77777777" w:rsidTr="00FB3903">
        <w:trPr>
          <w:trHeight w:val="264"/>
          <w:jc w:val="center"/>
        </w:trPr>
        <w:tc>
          <w:tcPr>
            <w:tcW w:w="0" w:type="auto"/>
            <w:tcBorders>
              <w:top w:val="single" w:sz="4" w:space="0" w:color="auto"/>
              <w:left w:val="nil"/>
              <w:right w:val="nil"/>
            </w:tcBorders>
            <w:shd w:val="clear" w:color="auto" w:fill="auto"/>
            <w:noWrap/>
            <w:vAlign w:val="bottom"/>
          </w:tcPr>
          <w:p w14:paraId="628231AF" w14:textId="77777777" w:rsidR="0065555D" w:rsidRPr="004A1AA7" w:rsidRDefault="0065555D" w:rsidP="00FB3903">
            <w:pPr>
              <w:spacing w:after="0" w:line="240" w:lineRule="auto"/>
              <w:rPr>
                <w:rFonts w:eastAsia="Times New Roman" w:cs="Times New Roman"/>
                <w:sz w:val="19"/>
                <w:szCs w:val="19"/>
              </w:rPr>
            </w:pPr>
          </w:p>
        </w:tc>
        <w:tc>
          <w:tcPr>
            <w:tcW w:w="0" w:type="auto"/>
            <w:gridSpan w:val="2"/>
            <w:tcBorders>
              <w:top w:val="single" w:sz="4" w:space="0" w:color="auto"/>
              <w:left w:val="nil"/>
              <w:bottom w:val="single" w:sz="4" w:space="0" w:color="auto"/>
              <w:right w:val="nil"/>
            </w:tcBorders>
            <w:shd w:val="clear" w:color="auto" w:fill="auto"/>
            <w:noWrap/>
            <w:vAlign w:val="bottom"/>
          </w:tcPr>
          <w:p w14:paraId="37B8FA6A" w14:textId="77777777" w:rsidR="0065555D" w:rsidRPr="004A1AA7" w:rsidRDefault="0065555D" w:rsidP="00FB3903">
            <w:pPr>
              <w:spacing w:after="0" w:line="240" w:lineRule="auto"/>
              <w:jc w:val="center"/>
              <w:rPr>
                <w:rFonts w:eastAsia="Times New Roman" w:cs="Times New Roman"/>
                <w:sz w:val="19"/>
                <w:szCs w:val="19"/>
              </w:rPr>
            </w:pPr>
            <w:r w:rsidRPr="004A1AA7">
              <w:rPr>
                <w:rFonts w:eastAsia="Times New Roman" w:cs="Times New Roman"/>
                <w:sz w:val="19"/>
                <w:szCs w:val="19"/>
              </w:rPr>
              <w:t>2SLS Spec. 1</w:t>
            </w:r>
          </w:p>
        </w:tc>
        <w:tc>
          <w:tcPr>
            <w:tcW w:w="0" w:type="auto"/>
            <w:gridSpan w:val="2"/>
            <w:tcBorders>
              <w:top w:val="single" w:sz="4" w:space="0" w:color="auto"/>
              <w:left w:val="nil"/>
              <w:bottom w:val="single" w:sz="4" w:space="0" w:color="auto"/>
              <w:right w:val="nil"/>
            </w:tcBorders>
            <w:shd w:val="clear" w:color="auto" w:fill="auto"/>
            <w:noWrap/>
            <w:vAlign w:val="bottom"/>
          </w:tcPr>
          <w:p w14:paraId="4E6B874E" w14:textId="77777777" w:rsidR="0065555D" w:rsidRPr="004A1AA7" w:rsidRDefault="0065555D" w:rsidP="00FB3903">
            <w:pPr>
              <w:spacing w:after="0" w:line="240" w:lineRule="auto"/>
              <w:jc w:val="center"/>
              <w:rPr>
                <w:rFonts w:eastAsia="Times New Roman" w:cs="Times New Roman"/>
                <w:sz w:val="19"/>
                <w:szCs w:val="19"/>
              </w:rPr>
            </w:pPr>
            <w:r w:rsidRPr="004A1AA7">
              <w:rPr>
                <w:rFonts w:eastAsia="Times New Roman" w:cs="Times New Roman"/>
                <w:sz w:val="19"/>
                <w:szCs w:val="19"/>
              </w:rPr>
              <w:t>2SLS Spec. 2</w:t>
            </w:r>
          </w:p>
        </w:tc>
      </w:tr>
      <w:tr w:rsidR="0065555D" w:rsidRPr="004A1AA7" w14:paraId="5C059971" w14:textId="77777777" w:rsidTr="00FB3903">
        <w:trPr>
          <w:trHeight w:val="264"/>
          <w:jc w:val="center"/>
        </w:trPr>
        <w:tc>
          <w:tcPr>
            <w:tcW w:w="0" w:type="auto"/>
            <w:tcBorders>
              <w:left w:val="nil"/>
              <w:bottom w:val="single" w:sz="4" w:space="0" w:color="auto"/>
              <w:right w:val="nil"/>
            </w:tcBorders>
            <w:shd w:val="clear" w:color="auto" w:fill="auto"/>
            <w:noWrap/>
            <w:vAlign w:val="bottom"/>
            <w:hideMark/>
          </w:tcPr>
          <w:p w14:paraId="43EB2408" w14:textId="77777777" w:rsidR="0065555D" w:rsidRPr="004A1AA7" w:rsidRDefault="0065555D" w:rsidP="00FB3903">
            <w:pPr>
              <w:spacing w:after="0" w:line="240" w:lineRule="auto"/>
              <w:rPr>
                <w:rFonts w:eastAsia="Times New Roman" w:cs="Times New Roman"/>
                <w:sz w:val="19"/>
                <w:szCs w:val="19"/>
              </w:rPr>
            </w:pPr>
            <w:r w:rsidRPr="004A1AA7">
              <w:rPr>
                <w:rFonts w:eastAsia="Times New Roman" w:cs="Times New Roman"/>
                <w:sz w:val="19"/>
                <w:szCs w:val="19"/>
              </w:rPr>
              <w:t>Variable</w:t>
            </w:r>
          </w:p>
        </w:tc>
        <w:tc>
          <w:tcPr>
            <w:tcW w:w="0" w:type="auto"/>
            <w:tcBorders>
              <w:top w:val="single" w:sz="4" w:space="0" w:color="auto"/>
              <w:left w:val="nil"/>
              <w:bottom w:val="single" w:sz="4" w:space="0" w:color="auto"/>
              <w:right w:val="nil"/>
            </w:tcBorders>
            <w:shd w:val="clear" w:color="auto" w:fill="auto"/>
            <w:noWrap/>
            <w:vAlign w:val="bottom"/>
            <w:hideMark/>
          </w:tcPr>
          <w:p w14:paraId="2ED21848" w14:textId="77777777" w:rsidR="0065555D" w:rsidRPr="004A1AA7" w:rsidRDefault="0065555D" w:rsidP="00FB3903">
            <w:pPr>
              <w:spacing w:after="0" w:line="240" w:lineRule="auto"/>
              <w:jc w:val="center"/>
              <w:rPr>
                <w:rFonts w:eastAsia="Times New Roman" w:cs="Times New Roman"/>
                <w:color w:val="000000"/>
                <w:sz w:val="19"/>
                <w:szCs w:val="19"/>
              </w:rPr>
            </w:pPr>
            <w:r w:rsidRPr="004A1AA7">
              <w:rPr>
                <w:rFonts w:eastAsia="Times New Roman" w:cs="Times New Roman"/>
                <w:color w:val="000000"/>
                <w:sz w:val="19"/>
                <w:szCs w:val="19"/>
              </w:rPr>
              <w:t>Coeff.</w:t>
            </w:r>
          </w:p>
          <w:p w14:paraId="4CFA3FAC" w14:textId="77777777" w:rsidR="0065555D" w:rsidRPr="004A1AA7" w:rsidRDefault="0065555D" w:rsidP="00FB3903">
            <w:pPr>
              <w:spacing w:after="0" w:line="240" w:lineRule="auto"/>
              <w:jc w:val="center"/>
              <w:rPr>
                <w:rFonts w:eastAsia="Times New Roman" w:cs="Times New Roman"/>
                <w:sz w:val="19"/>
                <w:szCs w:val="19"/>
              </w:rPr>
            </w:pPr>
            <w:r w:rsidRPr="004A1AA7">
              <w:rPr>
                <w:rFonts w:eastAsia="Times New Roman" w:cs="Times New Roman"/>
                <w:color w:val="000000"/>
                <w:sz w:val="19"/>
                <w:szCs w:val="19"/>
              </w:rPr>
              <w:t>Est.</w:t>
            </w:r>
          </w:p>
        </w:tc>
        <w:tc>
          <w:tcPr>
            <w:tcW w:w="0" w:type="auto"/>
            <w:tcBorders>
              <w:top w:val="single" w:sz="4" w:space="0" w:color="auto"/>
              <w:left w:val="nil"/>
              <w:bottom w:val="single" w:sz="4" w:space="0" w:color="auto"/>
              <w:right w:val="nil"/>
            </w:tcBorders>
            <w:shd w:val="clear" w:color="auto" w:fill="auto"/>
            <w:noWrap/>
            <w:vAlign w:val="bottom"/>
            <w:hideMark/>
          </w:tcPr>
          <w:p w14:paraId="37698832" w14:textId="77777777" w:rsidR="0065555D" w:rsidRPr="004A1AA7" w:rsidRDefault="0065555D" w:rsidP="00FB3903">
            <w:pPr>
              <w:spacing w:after="0" w:line="240" w:lineRule="auto"/>
              <w:jc w:val="center"/>
              <w:rPr>
                <w:rFonts w:eastAsia="Times New Roman" w:cs="Times New Roman"/>
                <w:sz w:val="19"/>
                <w:szCs w:val="19"/>
              </w:rPr>
            </w:pPr>
            <w:r w:rsidRPr="004A1AA7">
              <w:rPr>
                <w:rFonts w:eastAsia="Times New Roman" w:cs="Times New Roman"/>
                <w:sz w:val="19"/>
                <w:szCs w:val="19"/>
              </w:rPr>
              <w:t>t-stat</w:t>
            </w:r>
          </w:p>
        </w:tc>
        <w:tc>
          <w:tcPr>
            <w:tcW w:w="0" w:type="auto"/>
            <w:tcBorders>
              <w:top w:val="single" w:sz="4" w:space="0" w:color="auto"/>
              <w:left w:val="nil"/>
              <w:bottom w:val="single" w:sz="4" w:space="0" w:color="auto"/>
              <w:right w:val="nil"/>
            </w:tcBorders>
            <w:shd w:val="clear" w:color="auto" w:fill="auto"/>
            <w:noWrap/>
            <w:vAlign w:val="bottom"/>
            <w:hideMark/>
          </w:tcPr>
          <w:p w14:paraId="669AB06A" w14:textId="77777777" w:rsidR="0065555D" w:rsidRPr="004A1AA7" w:rsidRDefault="0065555D" w:rsidP="00FB3903">
            <w:pPr>
              <w:spacing w:after="0" w:line="240" w:lineRule="auto"/>
              <w:jc w:val="center"/>
              <w:rPr>
                <w:rFonts w:eastAsia="Times New Roman" w:cs="Times New Roman"/>
                <w:color w:val="000000"/>
                <w:sz w:val="19"/>
                <w:szCs w:val="19"/>
              </w:rPr>
            </w:pPr>
            <w:r w:rsidRPr="004A1AA7">
              <w:rPr>
                <w:rFonts w:eastAsia="Times New Roman" w:cs="Times New Roman"/>
                <w:color w:val="000000"/>
                <w:sz w:val="19"/>
                <w:szCs w:val="19"/>
              </w:rPr>
              <w:t>Coeff.</w:t>
            </w:r>
          </w:p>
          <w:p w14:paraId="576ED2EF" w14:textId="77777777" w:rsidR="0065555D" w:rsidRPr="004A1AA7" w:rsidRDefault="0065555D" w:rsidP="00FB3903">
            <w:pPr>
              <w:spacing w:after="0" w:line="240" w:lineRule="auto"/>
              <w:jc w:val="center"/>
              <w:rPr>
                <w:rFonts w:eastAsia="Times New Roman" w:cs="Times New Roman"/>
                <w:sz w:val="19"/>
                <w:szCs w:val="19"/>
              </w:rPr>
            </w:pPr>
            <w:r w:rsidRPr="004A1AA7">
              <w:rPr>
                <w:rFonts w:eastAsia="Times New Roman" w:cs="Times New Roman"/>
                <w:color w:val="000000"/>
                <w:sz w:val="19"/>
                <w:szCs w:val="19"/>
              </w:rPr>
              <w:t>Est.</w:t>
            </w:r>
          </w:p>
        </w:tc>
        <w:tc>
          <w:tcPr>
            <w:tcW w:w="0" w:type="auto"/>
            <w:tcBorders>
              <w:top w:val="single" w:sz="4" w:space="0" w:color="auto"/>
              <w:left w:val="nil"/>
              <w:bottom w:val="single" w:sz="4" w:space="0" w:color="auto"/>
              <w:right w:val="nil"/>
            </w:tcBorders>
            <w:shd w:val="clear" w:color="auto" w:fill="auto"/>
            <w:noWrap/>
            <w:vAlign w:val="bottom"/>
            <w:hideMark/>
          </w:tcPr>
          <w:p w14:paraId="519F0166" w14:textId="77777777" w:rsidR="0065555D" w:rsidRPr="004A1AA7" w:rsidRDefault="0065555D" w:rsidP="00FB3903">
            <w:pPr>
              <w:spacing w:after="0" w:line="240" w:lineRule="auto"/>
              <w:jc w:val="center"/>
              <w:rPr>
                <w:rFonts w:eastAsia="Times New Roman" w:cs="Times New Roman"/>
                <w:sz w:val="19"/>
                <w:szCs w:val="19"/>
              </w:rPr>
            </w:pPr>
            <w:r w:rsidRPr="004A1AA7">
              <w:rPr>
                <w:rFonts w:eastAsia="Times New Roman" w:cs="Times New Roman"/>
                <w:sz w:val="19"/>
                <w:szCs w:val="19"/>
              </w:rPr>
              <w:t>t-stat</w:t>
            </w:r>
          </w:p>
        </w:tc>
      </w:tr>
      <w:tr w:rsidR="0065555D" w:rsidRPr="004A1AA7" w14:paraId="25CF6711" w14:textId="77777777" w:rsidTr="007049D5">
        <w:trPr>
          <w:trHeight w:val="274"/>
          <w:jc w:val="center"/>
        </w:trPr>
        <w:tc>
          <w:tcPr>
            <w:tcW w:w="0" w:type="auto"/>
            <w:tcBorders>
              <w:top w:val="nil"/>
              <w:left w:val="nil"/>
              <w:bottom w:val="nil"/>
              <w:right w:val="nil"/>
            </w:tcBorders>
            <w:shd w:val="clear" w:color="auto" w:fill="auto"/>
            <w:noWrap/>
            <w:vAlign w:val="center"/>
            <w:hideMark/>
          </w:tcPr>
          <w:p w14:paraId="5DDC79C3" w14:textId="77777777" w:rsidR="0065555D" w:rsidRPr="004A1AA7" w:rsidRDefault="0065555D" w:rsidP="007049D5">
            <w:pPr>
              <w:spacing w:after="0" w:line="240" w:lineRule="auto"/>
              <w:jc w:val="left"/>
              <w:rPr>
                <w:rFonts w:eastAsia="Times New Roman" w:cs="Times New Roman"/>
                <w:sz w:val="19"/>
                <w:szCs w:val="19"/>
              </w:rPr>
            </w:pPr>
            <w:r w:rsidRPr="004A1AA7">
              <w:rPr>
                <w:rFonts w:eastAsia="Times New Roman" w:cs="Times New Roman"/>
                <w:sz w:val="19"/>
                <w:szCs w:val="19"/>
              </w:rPr>
              <w:t xml:space="preserve">Average LTV of Other Loans </w:t>
            </w:r>
          </w:p>
          <w:p w14:paraId="6E381563" w14:textId="77777777" w:rsidR="0065555D" w:rsidRPr="004A1AA7" w:rsidRDefault="0065555D" w:rsidP="007049D5">
            <w:pPr>
              <w:spacing w:after="0" w:line="240" w:lineRule="auto"/>
              <w:jc w:val="left"/>
              <w:rPr>
                <w:rFonts w:eastAsia="Times New Roman" w:cs="Times New Roman"/>
                <w:sz w:val="19"/>
                <w:szCs w:val="19"/>
              </w:rPr>
            </w:pPr>
            <w:r w:rsidRPr="004A1AA7">
              <w:rPr>
                <w:rFonts w:eastAsia="Times New Roman" w:cs="Times New Roman"/>
                <w:sz w:val="19"/>
                <w:szCs w:val="19"/>
              </w:rPr>
              <w:t>from Same Originator</w:t>
            </w:r>
          </w:p>
        </w:tc>
        <w:tc>
          <w:tcPr>
            <w:tcW w:w="0" w:type="auto"/>
            <w:tcBorders>
              <w:top w:val="nil"/>
              <w:left w:val="nil"/>
              <w:bottom w:val="nil"/>
              <w:right w:val="nil"/>
            </w:tcBorders>
            <w:shd w:val="clear" w:color="auto" w:fill="auto"/>
            <w:noWrap/>
            <w:vAlign w:val="center"/>
            <w:hideMark/>
          </w:tcPr>
          <w:p w14:paraId="78997837" w14:textId="77777777" w:rsidR="0065555D" w:rsidRPr="008C6292" w:rsidRDefault="0065555D" w:rsidP="00FB3903">
            <w:pPr>
              <w:spacing w:line="240" w:lineRule="auto"/>
              <w:jc w:val="center"/>
              <w:rPr>
                <w:rFonts w:cs="Times New Roman"/>
                <w:sz w:val="20"/>
                <w:szCs w:val="20"/>
              </w:rPr>
            </w:pPr>
            <w:r w:rsidRPr="008C6292">
              <w:rPr>
                <w:rFonts w:cs="Times New Roman"/>
                <w:sz w:val="20"/>
                <w:szCs w:val="20"/>
              </w:rPr>
              <w:t>0.7417</w:t>
            </w:r>
          </w:p>
        </w:tc>
        <w:tc>
          <w:tcPr>
            <w:tcW w:w="0" w:type="auto"/>
            <w:tcBorders>
              <w:top w:val="nil"/>
              <w:left w:val="nil"/>
              <w:bottom w:val="nil"/>
              <w:right w:val="nil"/>
            </w:tcBorders>
            <w:shd w:val="clear" w:color="auto" w:fill="auto"/>
            <w:noWrap/>
            <w:vAlign w:val="center"/>
            <w:hideMark/>
          </w:tcPr>
          <w:p w14:paraId="32A5BC8F" w14:textId="77777777" w:rsidR="0065555D" w:rsidRPr="008C6292" w:rsidRDefault="0065555D" w:rsidP="00FB3903">
            <w:pPr>
              <w:spacing w:line="240" w:lineRule="auto"/>
              <w:jc w:val="center"/>
              <w:rPr>
                <w:rFonts w:cs="Times New Roman"/>
                <w:sz w:val="20"/>
                <w:szCs w:val="20"/>
              </w:rPr>
            </w:pPr>
            <w:r w:rsidRPr="008C6292">
              <w:rPr>
                <w:rFonts w:cs="Times New Roman"/>
                <w:sz w:val="20"/>
                <w:szCs w:val="20"/>
              </w:rPr>
              <w:t>(19.5809)</w:t>
            </w:r>
          </w:p>
        </w:tc>
        <w:tc>
          <w:tcPr>
            <w:tcW w:w="0" w:type="auto"/>
            <w:tcBorders>
              <w:top w:val="nil"/>
              <w:left w:val="nil"/>
              <w:bottom w:val="nil"/>
              <w:right w:val="nil"/>
            </w:tcBorders>
            <w:shd w:val="clear" w:color="auto" w:fill="auto"/>
            <w:noWrap/>
            <w:vAlign w:val="center"/>
          </w:tcPr>
          <w:p w14:paraId="1B3F870E" w14:textId="77777777" w:rsidR="0065555D" w:rsidRPr="008C6292" w:rsidRDefault="0065555D" w:rsidP="00FB3903">
            <w:pPr>
              <w:spacing w:line="240" w:lineRule="auto"/>
              <w:jc w:val="center"/>
              <w:rPr>
                <w:rFonts w:cs="Times New Roman"/>
                <w:sz w:val="20"/>
                <w:szCs w:val="20"/>
              </w:rPr>
            </w:pPr>
            <w:r w:rsidRPr="008C6292">
              <w:rPr>
                <w:rFonts w:cs="Times New Roman"/>
                <w:sz w:val="20"/>
                <w:szCs w:val="20"/>
              </w:rPr>
              <w:t>0.7485</w:t>
            </w:r>
          </w:p>
        </w:tc>
        <w:tc>
          <w:tcPr>
            <w:tcW w:w="0" w:type="auto"/>
            <w:tcBorders>
              <w:top w:val="nil"/>
              <w:left w:val="nil"/>
              <w:bottom w:val="nil"/>
              <w:right w:val="nil"/>
            </w:tcBorders>
            <w:shd w:val="clear" w:color="auto" w:fill="auto"/>
            <w:noWrap/>
            <w:vAlign w:val="center"/>
          </w:tcPr>
          <w:p w14:paraId="6F2CD40A" w14:textId="77777777" w:rsidR="0065555D" w:rsidRPr="008C6292" w:rsidRDefault="0065555D" w:rsidP="00FB3903">
            <w:pPr>
              <w:spacing w:line="240" w:lineRule="auto"/>
              <w:jc w:val="center"/>
              <w:rPr>
                <w:rFonts w:cs="Times New Roman"/>
                <w:sz w:val="20"/>
                <w:szCs w:val="20"/>
              </w:rPr>
            </w:pPr>
            <w:r w:rsidRPr="008C6292">
              <w:rPr>
                <w:rFonts w:cs="Times New Roman"/>
                <w:sz w:val="20"/>
                <w:szCs w:val="20"/>
              </w:rPr>
              <w:t>(19.2268)</w:t>
            </w:r>
          </w:p>
        </w:tc>
      </w:tr>
      <w:tr w:rsidR="0065555D" w:rsidRPr="004A1AA7" w14:paraId="27A8CFBE" w14:textId="77777777" w:rsidTr="007049D5">
        <w:trPr>
          <w:trHeight w:val="274"/>
          <w:jc w:val="center"/>
        </w:trPr>
        <w:tc>
          <w:tcPr>
            <w:tcW w:w="0" w:type="auto"/>
            <w:tcBorders>
              <w:top w:val="nil"/>
              <w:left w:val="nil"/>
              <w:bottom w:val="nil"/>
              <w:right w:val="nil"/>
            </w:tcBorders>
            <w:shd w:val="clear" w:color="auto" w:fill="auto"/>
            <w:noWrap/>
            <w:vAlign w:val="center"/>
            <w:hideMark/>
          </w:tcPr>
          <w:p w14:paraId="20B1AC27" w14:textId="77777777" w:rsidR="0065555D" w:rsidRPr="004A1AA7" w:rsidRDefault="0065555D" w:rsidP="007049D5">
            <w:pPr>
              <w:spacing w:after="0" w:line="240" w:lineRule="auto"/>
              <w:jc w:val="left"/>
              <w:rPr>
                <w:rFonts w:eastAsia="Times New Roman" w:cs="Times New Roman"/>
                <w:color w:val="000000"/>
                <w:sz w:val="19"/>
                <w:szCs w:val="19"/>
              </w:rPr>
            </w:pPr>
            <w:r w:rsidRPr="004A1AA7">
              <w:rPr>
                <w:rFonts w:eastAsia="Times New Roman" w:cs="Times New Roman"/>
                <w:color w:val="000000"/>
                <w:sz w:val="19"/>
                <w:szCs w:val="19"/>
              </w:rPr>
              <w:t>D(L1 Category 1)</w:t>
            </w:r>
          </w:p>
        </w:tc>
        <w:tc>
          <w:tcPr>
            <w:tcW w:w="0" w:type="auto"/>
            <w:tcBorders>
              <w:top w:val="nil"/>
              <w:left w:val="nil"/>
              <w:bottom w:val="nil"/>
              <w:right w:val="nil"/>
            </w:tcBorders>
            <w:shd w:val="clear" w:color="auto" w:fill="auto"/>
            <w:noWrap/>
            <w:vAlign w:val="center"/>
            <w:hideMark/>
          </w:tcPr>
          <w:p w14:paraId="5B2617C1"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-0.0138</w:t>
            </w:r>
          </w:p>
        </w:tc>
        <w:tc>
          <w:tcPr>
            <w:tcW w:w="0" w:type="auto"/>
            <w:tcBorders>
              <w:top w:val="nil"/>
              <w:left w:val="nil"/>
              <w:bottom w:val="nil"/>
              <w:right w:val="nil"/>
            </w:tcBorders>
            <w:shd w:val="clear" w:color="auto" w:fill="auto"/>
            <w:noWrap/>
            <w:vAlign w:val="center"/>
            <w:hideMark/>
          </w:tcPr>
          <w:p w14:paraId="5F6A1ACE"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(-2.8186)</w:t>
            </w:r>
          </w:p>
        </w:tc>
        <w:tc>
          <w:tcPr>
            <w:tcW w:w="0" w:type="auto"/>
            <w:tcBorders>
              <w:top w:val="nil"/>
              <w:left w:val="nil"/>
              <w:bottom w:val="nil"/>
              <w:right w:val="nil"/>
            </w:tcBorders>
            <w:shd w:val="clear" w:color="auto" w:fill="auto"/>
            <w:noWrap/>
            <w:vAlign w:val="center"/>
          </w:tcPr>
          <w:p w14:paraId="04934CEC" w14:textId="77777777" w:rsidR="0065555D" w:rsidRPr="008C6292"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tcPr>
          <w:p w14:paraId="21FAA56B" w14:textId="77777777" w:rsidR="0065555D" w:rsidRPr="008C6292" w:rsidRDefault="0065555D" w:rsidP="007049D5">
            <w:pPr>
              <w:spacing w:line="240" w:lineRule="auto"/>
              <w:jc w:val="center"/>
              <w:rPr>
                <w:rFonts w:cs="Times New Roman"/>
                <w:sz w:val="20"/>
                <w:szCs w:val="20"/>
              </w:rPr>
            </w:pPr>
          </w:p>
        </w:tc>
      </w:tr>
      <w:tr w:rsidR="0065555D" w:rsidRPr="004A1AA7" w14:paraId="4195CCE8" w14:textId="77777777" w:rsidTr="007049D5">
        <w:trPr>
          <w:trHeight w:val="274"/>
          <w:jc w:val="center"/>
        </w:trPr>
        <w:tc>
          <w:tcPr>
            <w:tcW w:w="0" w:type="auto"/>
            <w:tcBorders>
              <w:top w:val="nil"/>
              <w:left w:val="nil"/>
              <w:bottom w:val="nil"/>
              <w:right w:val="nil"/>
            </w:tcBorders>
            <w:shd w:val="clear" w:color="auto" w:fill="auto"/>
            <w:noWrap/>
            <w:vAlign w:val="center"/>
            <w:hideMark/>
          </w:tcPr>
          <w:p w14:paraId="123665A5" w14:textId="77777777" w:rsidR="0065555D" w:rsidRPr="004A1AA7" w:rsidRDefault="0065555D" w:rsidP="007049D5">
            <w:pPr>
              <w:spacing w:after="0" w:line="240" w:lineRule="auto"/>
              <w:jc w:val="left"/>
              <w:rPr>
                <w:rFonts w:eastAsia="Times New Roman" w:cs="Times New Roman"/>
                <w:color w:val="000000"/>
                <w:sz w:val="19"/>
                <w:szCs w:val="19"/>
              </w:rPr>
            </w:pPr>
            <w:r w:rsidRPr="004A1AA7">
              <w:rPr>
                <w:rFonts w:eastAsia="Times New Roman" w:cs="Times New Roman"/>
                <w:color w:val="000000"/>
                <w:sz w:val="19"/>
                <w:szCs w:val="19"/>
              </w:rPr>
              <w:t>D(L1 Category 1) × D(L1 Rollover)</w:t>
            </w:r>
          </w:p>
        </w:tc>
        <w:tc>
          <w:tcPr>
            <w:tcW w:w="0" w:type="auto"/>
            <w:tcBorders>
              <w:top w:val="nil"/>
              <w:left w:val="nil"/>
              <w:bottom w:val="nil"/>
              <w:right w:val="nil"/>
            </w:tcBorders>
            <w:shd w:val="clear" w:color="auto" w:fill="auto"/>
            <w:noWrap/>
            <w:vAlign w:val="center"/>
            <w:hideMark/>
          </w:tcPr>
          <w:p w14:paraId="4BE63891"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0.0031</w:t>
            </w:r>
          </w:p>
        </w:tc>
        <w:tc>
          <w:tcPr>
            <w:tcW w:w="0" w:type="auto"/>
            <w:tcBorders>
              <w:top w:val="nil"/>
              <w:left w:val="nil"/>
              <w:bottom w:val="nil"/>
              <w:right w:val="nil"/>
            </w:tcBorders>
            <w:shd w:val="clear" w:color="auto" w:fill="auto"/>
            <w:noWrap/>
            <w:vAlign w:val="center"/>
            <w:hideMark/>
          </w:tcPr>
          <w:p w14:paraId="5A14F368"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(0.6746)</w:t>
            </w:r>
          </w:p>
        </w:tc>
        <w:tc>
          <w:tcPr>
            <w:tcW w:w="0" w:type="auto"/>
            <w:tcBorders>
              <w:top w:val="nil"/>
              <w:left w:val="nil"/>
              <w:bottom w:val="nil"/>
              <w:right w:val="nil"/>
            </w:tcBorders>
            <w:shd w:val="clear" w:color="auto" w:fill="auto"/>
            <w:noWrap/>
            <w:vAlign w:val="center"/>
          </w:tcPr>
          <w:p w14:paraId="70CAC9B9" w14:textId="77777777" w:rsidR="0065555D" w:rsidRPr="008C6292"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tcPr>
          <w:p w14:paraId="2EA9C275" w14:textId="77777777" w:rsidR="0065555D" w:rsidRPr="008C6292" w:rsidRDefault="0065555D" w:rsidP="007049D5">
            <w:pPr>
              <w:spacing w:line="240" w:lineRule="auto"/>
              <w:jc w:val="center"/>
              <w:rPr>
                <w:rFonts w:cs="Times New Roman"/>
                <w:sz w:val="20"/>
                <w:szCs w:val="20"/>
              </w:rPr>
            </w:pPr>
          </w:p>
        </w:tc>
      </w:tr>
      <w:tr w:rsidR="0065555D" w:rsidRPr="004A1AA7" w14:paraId="65826D05" w14:textId="77777777" w:rsidTr="007049D5">
        <w:trPr>
          <w:trHeight w:val="274"/>
          <w:jc w:val="center"/>
        </w:trPr>
        <w:tc>
          <w:tcPr>
            <w:tcW w:w="0" w:type="auto"/>
            <w:tcBorders>
              <w:top w:val="nil"/>
              <w:left w:val="nil"/>
              <w:bottom w:val="nil"/>
              <w:right w:val="nil"/>
            </w:tcBorders>
            <w:shd w:val="clear" w:color="auto" w:fill="auto"/>
            <w:noWrap/>
            <w:vAlign w:val="center"/>
            <w:hideMark/>
          </w:tcPr>
          <w:p w14:paraId="2AE2C849" w14:textId="77777777" w:rsidR="0065555D" w:rsidRPr="004A1AA7" w:rsidRDefault="0065555D" w:rsidP="007049D5">
            <w:pPr>
              <w:spacing w:after="0" w:line="240" w:lineRule="auto"/>
              <w:jc w:val="left"/>
              <w:rPr>
                <w:rFonts w:eastAsia="Times New Roman" w:cs="Times New Roman"/>
                <w:color w:val="000000"/>
                <w:sz w:val="19"/>
                <w:szCs w:val="19"/>
              </w:rPr>
            </w:pPr>
            <w:r w:rsidRPr="004A1AA7">
              <w:rPr>
                <w:rFonts w:eastAsia="Times New Roman" w:cs="Times New Roman"/>
                <w:color w:val="000000"/>
                <w:sz w:val="19"/>
                <w:szCs w:val="19"/>
              </w:rPr>
              <w:t>D(L1 Category 2)</w:t>
            </w:r>
          </w:p>
        </w:tc>
        <w:tc>
          <w:tcPr>
            <w:tcW w:w="0" w:type="auto"/>
            <w:tcBorders>
              <w:top w:val="nil"/>
              <w:left w:val="nil"/>
              <w:bottom w:val="nil"/>
              <w:right w:val="nil"/>
            </w:tcBorders>
            <w:shd w:val="clear" w:color="auto" w:fill="auto"/>
            <w:noWrap/>
            <w:vAlign w:val="center"/>
            <w:hideMark/>
          </w:tcPr>
          <w:p w14:paraId="592A507D"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0.0065</w:t>
            </w:r>
          </w:p>
        </w:tc>
        <w:tc>
          <w:tcPr>
            <w:tcW w:w="0" w:type="auto"/>
            <w:tcBorders>
              <w:top w:val="nil"/>
              <w:left w:val="nil"/>
              <w:bottom w:val="nil"/>
              <w:right w:val="nil"/>
            </w:tcBorders>
            <w:shd w:val="clear" w:color="auto" w:fill="auto"/>
            <w:noWrap/>
            <w:vAlign w:val="center"/>
            <w:hideMark/>
          </w:tcPr>
          <w:p w14:paraId="475EBF8D"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(1.7187)</w:t>
            </w:r>
          </w:p>
        </w:tc>
        <w:tc>
          <w:tcPr>
            <w:tcW w:w="0" w:type="auto"/>
            <w:tcBorders>
              <w:top w:val="nil"/>
              <w:left w:val="nil"/>
              <w:bottom w:val="nil"/>
              <w:right w:val="nil"/>
            </w:tcBorders>
            <w:shd w:val="clear" w:color="auto" w:fill="auto"/>
            <w:noWrap/>
            <w:vAlign w:val="center"/>
          </w:tcPr>
          <w:p w14:paraId="18E74C88" w14:textId="77777777" w:rsidR="0065555D" w:rsidRPr="008C6292"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tcPr>
          <w:p w14:paraId="7C6FBBBE" w14:textId="77777777" w:rsidR="0065555D" w:rsidRPr="008C6292" w:rsidRDefault="0065555D" w:rsidP="007049D5">
            <w:pPr>
              <w:spacing w:line="240" w:lineRule="auto"/>
              <w:jc w:val="center"/>
              <w:rPr>
                <w:rFonts w:cs="Times New Roman"/>
                <w:sz w:val="20"/>
                <w:szCs w:val="20"/>
              </w:rPr>
            </w:pPr>
          </w:p>
        </w:tc>
      </w:tr>
      <w:tr w:rsidR="0065555D" w:rsidRPr="004A1AA7" w14:paraId="75F6A2B3" w14:textId="77777777" w:rsidTr="007049D5">
        <w:trPr>
          <w:trHeight w:val="274"/>
          <w:jc w:val="center"/>
        </w:trPr>
        <w:tc>
          <w:tcPr>
            <w:tcW w:w="0" w:type="auto"/>
            <w:tcBorders>
              <w:top w:val="nil"/>
              <w:left w:val="nil"/>
              <w:bottom w:val="nil"/>
              <w:right w:val="nil"/>
            </w:tcBorders>
            <w:shd w:val="clear" w:color="auto" w:fill="auto"/>
            <w:noWrap/>
            <w:vAlign w:val="center"/>
            <w:hideMark/>
          </w:tcPr>
          <w:p w14:paraId="579D428A" w14:textId="77777777" w:rsidR="0065555D" w:rsidRPr="004A1AA7" w:rsidRDefault="0065555D" w:rsidP="007049D5">
            <w:pPr>
              <w:spacing w:after="0" w:line="240" w:lineRule="auto"/>
              <w:jc w:val="left"/>
              <w:rPr>
                <w:rFonts w:eastAsia="Times New Roman" w:cs="Times New Roman"/>
                <w:color w:val="000000"/>
                <w:sz w:val="19"/>
                <w:szCs w:val="19"/>
              </w:rPr>
            </w:pPr>
            <w:r w:rsidRPr="004A1AA7">
              <w:rPr>
                <w:rFonts w:eastAsia="Times New Roman" w:cs="Times New Roman"/>
                <w:color w:val="000000"/>
                <w:sz w:val="19"/>
                <w:szCs w:val="19"/>
              </w:rPr>
              <w:t>D(L1 Category 2) × D(L1 Rollover)</w:t>
            </w:r>
          </w:p>
        </w:tc>
        <w:tc>
          <w:tcPr>
            <w:tcW w:w="0" w:type="auto"/>
            <w:tcBorders>
              <w:top w:val="nil"/>
              <w:left w:val="nil"/>
              <w:bottom w:val="nil"/>
              <w:right w:val="nil"/>
            </w:tcBorders>
            <w:shd w:val="clear" w:color="auto" w:fill="auto"/>
            <w:noWrap/>
            <w:vAlign w:val="center"/>
            <w:hideMark/>
          </w:tcPr>
          <w:p w14:paraId="470E8D49"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-0.0122</w:t>
            </w:r>
          </w:p>
        </w:tc>
        <w:tc>
          <w:tcPr>
            <w:tcW w:w="0" w:type="auto"/>
            <w:tcBorders>
              <w:top w:val="nil"/>
              <w:left w:val="nil"/>
              <w:bottom w:val="nil"/>
              <w:right w:val="nil"/>
            </w:tcBorders>
            <w:shd w:val="clear" w:color="auto" w:fill="auto"/>
            <w:noWrap/>
            <w:vAlign w:val="center"/>
            <w:hideMark/>
          </w:tcPr>
          <w:p w14:paraId="144F0B9B"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(-3.7950)</w:t>
            </w:r>
          </w:p>
        </w:tc>
        <w:tc>
          <w:tcPr>
            <w:tcW w:w="0" w:type="auto"/>
            <w:tcBorders>
              <w:top w:val="nil"/>
              <w:left w:val="nil"/>
              <w:bottom w:val="nil"/>
              <w:right w:val="nil"/>
            </w:tcBorders>
            <w:shd w:val="clear" w:color="auto" w:fill="auto"/>
            <w:noWrap/>
            <w:vAlign w:val="center"/>
          </w:tcPr>
          <w:p w14:paraId="377CE3DE" w14:textId="77777777" w:rsidR="0065555D" w:rsidRPr="008C6292"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tcPr>
          <w:p w14:paraId="4D3E9C15" w14:textId="77777777" w:rsidR="0065555D" w:rsidRPr="008C6292" w:rsidRDefault="0065555D" w:rsidP="007049D5">
            <w:pPr>
              <w:spacing w:line="240" w:lineRule="auto"/>
              <w:jc w:val="center"/>
              <w:rPr>
                <w:rFonts w:cs="Times New Roman"/>
                <w:sz w:val="20"/>
                <w:szCs w:val="20"/>
              </w:rPr>
            </w:pPr>
          </w:p>
        </w:tc>
      </w:tr>
      <w:tr w:rsidR="0065555D" w:rsidRPr="004A1AA7" w14:paraId="17B84C6A" w14:textId="77777777" w:rsidTr="007049D5">
        <w:trPr>
          <w:trHeight w:val="274"/>
          <w:jc w:val="center"/>
        </w:trPr>
        <w:tc>
          <w:tcPr>
            <w:tcW w:w="0" w:type="auto"/>
            <w:tcBorders>
              <w:top w:val="nil"/>
              <w:left w:val="nil"/>
              <w:bottom w:val="nil"/>
              <w:right w:val="nil"/>
            </w:tcBorders>
            <w:shd w:val="clear" w:color="auto" w:fill="auto"/>
            <w:noWrap/>
            <w:vAlign w:val="center"/>
            <w:hideMark/>
          </w:tcPr>
          <w:p w14:paraId="11CC9B66" w14:textId="77777777" w:rsidR="0065555D" w:rsidRPr="004A1AA7" w:rsidRDefault="0065555D" w:rsidP="007049D5">
            <w:pPr>
              <w:spacing w:after="0" w:line="240" w:lineRule="auto"/>
              <w:jc w:val="left"/>
              <w:rPr>
                <w:rFonts w:eastAsia="Times New Roman" w:cs="Times New Roman"/>
                <w:color w:val="000000"/>
                <w:sz w:val="19"/>
                <w:szCs w:val="19"/>
              </w:rPr>
            </w:pPr>
            <w:r w:rsidRPr="004A1AA7">
              <w:rPr>
                <w:rFonts w:eastAsia="Times New Roman" w:cs="Times New Roman"/>
                <w:color w:val="000000"/>
                <w:sz w:val="19"/>
                <w:szCs w:val="19"/>
              </w:rPr>
              <w:t>D(L1 Category 3)</w:t>
            </w:r>
          </w:p>
        </w:tc>
        <w:tc>
          <w:tcPr>
            <w:tcW w:w="0" w:type="auto"/>
            <w:tcBorders>
              <w:top w:val="nil"/>
              <w:left w:val="nil"/>
              <w:bottom w:val="nil"/>
              <w:right w:val="nil"/>
            </w:tcBorders>
            <w:shd w:val="clear" w:color="auto" w:fill="auto"/>
            <w:noWrap/>
            <w:vAlign w:val="center"/>
            <w:hideMark/>
          </w:tcPr>
          <w:p w14:paraId="717260F5"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0.0178</w:t>
            </w:r>
          </w:p>
        </w:tc>
        <w:tc>
          <w:tcPr>
            <w:tcW w:w="0" w:type="auto"/>
            <w:tcBorders>
              <w:top w:val="nil"/>
              <w:left w:val="nil"/>
              <w:bottom w:val="nil"/>
              <w:right w:val="nil"/>
            </w:tcBorders>
            <w:shd w:val="clear" w:color="auto" w:fill="auto"/>
            <w:noWrap/>
            <w:vAlign w:val="center"/>
            <w:hideMark/>
          </w:tcPr>
          <w:p w14:paraId="4BFE8D17"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(4.6806)</w:t>
            </w:r>
          </w:p>
        </w:tc>
        <w:tc>
          <w:tcPr>
            <w:tcW w:w="0" w:type="auto"/>
            <w:tcBorders>
              <w:top w:val="nil"/>
              <w:left w:val="nil"/>
              <w:bottom w:val="nil"/>
              <w:right w:val="nil"/>
            </w:tcBorders>
            <w:shd w:val="clear" w:color="auto" w:fill="auto"/>
            <w:noWrap/>
            <w:vAlign w:val="center"/>
          </w:tcPr>
          <w:p w14:paraId="7F778F62" w14:textId="77777777" w:rsidR="0065555D" w:rsidRPr="008C6292"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tcPr>
          <w:p w14:paraId="28C48F40" w14:textId="77777777" w:rsidR="0065555D" w:rsidRPr="008C6292" w:rsidRDefault="0065555D" w:rsidP="007049D5">
            <w:pPr>
              <w:spacing w:line="240" w:lineRule="auto"/>
              <w:jc w:val="center"/>
              <w:rPr>
                <w:rFonts w:cs="Times New Roman"/>
                <w:sz w:val="20"/>
                <w:szCs w:val="20"/>
              </w:rPr>
            </w:pPr>
          </w:p>
        </w:tc>
      </w:tr>
      <w:tr w:rsidR="0065555D" w:rsidRPr="004A1AA7" w14:paraId="347D4DAF" w14:textId="77777777" w:rsidTr="007049D5">
        <w:trPr>
          <w:trHeight w:val="274"/>
          <w:jc w:val="center"/>
        </w:trPr>
        <w:tc>
          <w:tcPr>
            <w:tcW w:w="0" w:type="auto"/>
            <w:tcBorders>
              <w:top w:val="nil"/>
              <w:left w:val="nil"/>
              <w:bottom w:val="nil"/>
              <w:right w:val="nil"/>
            </w:tcBorders>
            <w:shd w:val="clear" w:color="auto" w:fill="auto"/>
            <w:noWrap/>
            <w:vAlign w:val="center"/>
            <w:hideMark/>
          </w:tcPr>
          <w:p w14:paraId="145840E6" w14:textId="77777777" w:rsidR="0065555D" w:rsidRPr="004A1AA7" w:rsidRDefault="0065555D" w:rsidP="007049D5">
            <w:pPr>
              <w:spacing w:after="0" w:line="240" w:lineRule="auto"/>
              <w:jc w:val="left"/>
              <w:rPr>
                <w:rFonts w:eastAsia="Times New Roman" w:cs="Times New Roman"/>
                <w:color w:val="000000"/>
                <w:sz w:val="19"/>
                <w:szCs w:val="19"/>
              </w:rPr>
            </w:pPr>
            <w:r w:rsidRPr="004A1AA7">
              <w:rPr>
                <w:rFonts w:eastAsia="Times New Roman" w:cs="Times New Roman"/>
                <w:color w:val="000000"/>
                <w:sz w:val="19"/>
                <w:szCs w:val="19"/>
              </w:rPr>
              <w:t>D(L1 Category 3) × D(L1 Rollover)</w:t>
            </w:r>
          </w:p>
        </w:tc>
        <w:tc>
          <w:tcPr>
            <w:tcW w:w="0" w:type="auto"/>
            <w:tcBorders>
              <w:top w:val="nil"/>
              <w:left w:val="nil"/>
              <w:bottom w:val="nil"/>
              <w:right w:val="nil"/>
            </w:tcBorders>
            <w:shd w:val="clear" w:color="auto" w:fill="auto"/>
            <w:noWrap/>
            <w:vAlign w:val="center"/>
            <w:hideMark/>
          </w:tcPr>
          <w:p w14:paraId="18BE687C"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-0.0180</w:t>
            </w:r>
          </w:p>
        </w:tc>
        <w:tc>
          <w:tcPr>
            <w:tcW w:w="0" w:type="auto"/>
            <w:tcBorders>
              <w:top w:val="nil"/>
              <w:left w:val="nil"/>
              <w:bottom w:val="nil"/>
              <w:right w:val="nil"/>
            </w:tcBorders>
            <w:shd w:val="clear" w:color="auto" w:fill="auto"/>
            <w:noWrap/>
            <w:vAlign w:val="center"/>
            <w:hideMark/>
          </w:tcPr>
          <w:p w14:paraId="5BBB27F9"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(-5.4933)</w:t>
            </w:r>
          </w:p>
        </w:tc>
        <w:tc>
          <w:tcPr>
            <w:tcW w:w="0" w:type="auto"/>
            <w:tcBorders>
              <w:top w:val="nil"/>
              <w:left w:val="nil"/>
              <w:bottom w:val="nil"/>
              <w:right w:val="nil"/>
            </w:tcBorders>
            <w:shd w:val="clear" w:color="auto" w:fill="auto"/>
            <w:noWrap/>
            <w:vAlign w:val="center"/>
          </w:tcPr>
          <w:p w14:paraId="35F96DE0" w14:textId="77777777" w:rsidR="0065555D" w:rsidRPr="008C6292"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tcPr>
          <w:p w14:paraId="3CF8EBDD" w14:textId="77777777" w:rsidR="0065555D" w:rsidRPr="008C6292" w:rsidRDefault="0065555D" w:rsidP="007049D5">
            <w:pPr>
              <w:spacing w:line="240" w:lineRule="auto"/>
              <w:jc w:val="center"/>
              <w:rPr>
                <w:rFonts w:cs="Times New Roman"/>
                <w:sz w:val="20"/>
                <w:szCs w:val="20"/>
              </w:rPr>
            </w:pPr>
          </w:p>
        </w:tc>
      </w:tr>
      <w:tr w:rsidR="0065555D" w:rsidRPr="004A1AA7" w14:paraId="2ED3AA90" w14:textId="77777777" w:rsidTr="007049D5">
        <w:trPr>
          <w:trHeight w:val="274"/>
          <w:jc w:val="center"/>
        </w:trPr>
        <w:tc>
          <w:tcPr>
            <w:tcW w:w="0" w:type="auto"/>
            <w:tcBorders>
              <w:top w:val="nil"/>
              <w:left w:val="nil"/>
              <w:bottom w:val="nil"/>
              <w:right w:val="nil"/>
            </w:tcBorders>
            <w:shd w:val="clear" w:color="auto" w:fill="auto"/>
            <w:noWrap/>
            <w:vAlign w:val="center"/>
            <w:hideMark/>
          </w:tcPr>
          <w:p w14:paraId="461A0898" w14:textId="77777777" w:rsidR="0065555D" w:rsidRPr="004A1AA7" w:rsidRDefault="0065555D" w:rsidP="007049D5">
            <w:pPr>
              <w:spacing w:after="0" w:line="240" w:lineRule="auto"/>
              <w:jc w:val="left"/>
              <w:rPr>
                <w:rFonts w:eastAsia="Times New Roman" w:cs="Times New Roman"/>
                <w:color w:val="000000"/>
                <w:sz w:val="19"/>
                <w:szCs w:val="19"/>
              </w:rPr>
            </w:pPr>
            <w:r w:rsidRPr="004A1AA7">
              <w:rPr>
                <w:rFonts w:eastAsia="Times New Roman" w:cs="Times New Roman"/>
                <w:color w:val="000000"/>
                <w:sz w:val="19"/>
                <w:szCs w:val="19"/>
              </w:rPr>
              <w:t>D(L1 Category 4)</w:t>
            </w:r>
          </w:p>
        </w:tc>
        <w:tc>
          <w:tcPr>
            <w:tcW w:w="0" w:type="auto"/>
            <w:tcBorders>
              <w:top w:val="nil"/>
              <w:left w:val="nil"/>
              <w:bottom w:val="nil"/>
              <w:right w:val="nil"/>
            </w:tcBorders>
            <w:shd w:val="clear" w:color="auto" w:fill="auto"/>
            <w:noWrap/>
            <w:vAlign w:val="center"/>
            <w:hideMark/>
          </w:tcPr>
          <w:p w14:paraId="6FC876C6"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0.0170</w:t>
            </w:r>
          </w:p>
        </w:tc>
        <w:tc>
          <w:tcPr>
            <w:tcW w:w="0" w:type="auto"/>
            <w:tcBorders>
              <w:top w:val="nil"/>
              <w:left w:val="nil"/>
              <w:bottom w:val="nil"/>
              <w:right w:val="nil"/>
            </w:tcBorders>
            <w:shd w:val="clear" w:color="auto" w:fill="auto"/>
            <w:noWrap/>
            <w:vAlign w:val="center"/>
            <w:hideMark/>
          </w:tcPr>
          <w:p w14:paraId="788175AC"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(4.1186)</w:t>
            </w:r>
          </w:p>
        </w:tc>
        <w:tc>
          <w:tcPr>
            <w:tcW w:w="0" w:type="auto"/>
            <w:tcBorders>
              <w:top w:val="nil"/>
              <w:left w:val="nil"/>
              <w:bottom w:val="nil"/>
              <w:right w:val="nil"/>
            </w:tcBorders>
            <w:shd w:val="clear" w:color="auto" w:fill="auto"/>
            <w:noWrap/>
            <w:vAlign w:val="center"/>
          </w:tcPr>
          <w:p w14:paraId="198C4F7B" w14:textId="77777777" w:rsidR="0065555D" w:rsidRPr="008C6292"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tcPr>
          <w:p w14:paraId="36D1EF3C" w14:textId="77777777" w:rsidR="0065555D" w:rsidRPr="008C6292" w:rsidRDefault="0065555D" w:rsidP="007049D5">
            <w:pPr>
              <w:spacing w:line="240" w:lineRule="auto"/>
              <w:jc w:val="center"/>
              <w:rPr>
                <w:rFonts w:cs="Times New Roman"/>
                <w:sz w:val="20"/>
                <w:szCs w:val="20"/>
              </w:rPr>
            </w:pPr>
          </w:p>
        </w:tc>
      </w:tr>
      <w:tr w:rsidR="0065555D" w:rsidRPr="004A1AA7" w14:paraId="3703CC0D" w14:textId="77777777" w:rsidTr="007049D5">
        <w:trPr>
          <w:trHeight w:val="274"/>
          <w:jc w:val="center"/>
        </w:trPr>
        <w:tc>
          <w:tcPr>
            <w:tcW w:w="0" w:type="auto"/>
            <w:tcBorders>
              <w:top w:val="nil"/>
              <w:left w:val="nil"/>
              <w:bottom w:val="nil"/>
              <w:right w:val="nil"/>
            </w:tcBorders>
            <w:shd w:val="clear" w:color="auto" w:fill="auto"/>
            <w:noWrap/>
            <w:vAlign w:val="center"/>
            <w:hideMark/>
          </w:tcPr>
          <w:p w14:paraId="09432105" w14:textId="77777777" w:rsidR="0065555D" w:rsidRPr="004A1AA7" w:rsidRDefault="0065555D" w:rsidP="007049D5">
            <w:pPr>
              <w:spacing w:after="0" w:line="240" w:lineRule="auto"/>
              <w:jc w:val="left"/>
              <w:rPr>
                <w:rFonts w:eastAsia="Times New Roman" w:cs="Times New Roman"/>
                <w:color w:val="000000"/>
                <w:sz w:val="19"/>
                <w:szCs w:val="19"/>
              </w:rPr>
            </w:pPr>
            <w:r w:rsidRPr="004A1AA7">
              <w:rPr>
                <w:rFonts w:eastAsia="Times New Roman" w:cs="Times New Roman"/>
                <w:color w:val="000000"/>
                <w:sz w:val="19"/>
                <w:szCs w:val="19"/>
              </w:rPr>
              <w:t>D(L1 Category 4) × D(L1 Rollover)</w:t>
            </w:r>
          </w:p>
        </w:tc>
        <w:tc>
          <w:tcPr>
            <w:tcW w:w="0" w:type="auto"/>
            <w:tcBorders>
              <w:top w:val="nil"/>
              <w:left w:val="nil"/>
              <w:bottom w:val="nil"/>
              <w:right w:val="nil"/>
            </w:tcBorders>
            <w:shd w:val="clear" w:color="auto" w:fill="auto"/>
            <w:noWrap/>
            <w:vAlign w:val="center"/>
            <w:hideMark/>
          </w:tcPr>
          <w:p w14:paraId="6F5673F6"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-0.0121</w:t>
            </w:r>
          </w:p>
        </w:tc>
        <w:tc>
          <w:tcPr>
            <w:tcW w:w="0" w:type="auto"/>
            <w:tcBorders>
              <w:top w:val="nil"/>
              <w:left w:val="nil"/>
              <w:bottom w:val="nil"/>
              <w:right w:val="nil"/>
            </w:tcBorders>
            <w:shd w:val="clear" w:color="auto" w:fill="auto"/>
            <w:noWrap/>
            <w:vAlign w:val="center"/>
            <w:hideMark/>
          </w:tcPr>
          <w:p w14:paraId="62AB9894"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(-3.1521)</w:t>
            </w:r>
          </w:p>
        </w:tc>
        <w:tc>
          <w:tcPr>
            <w:tcW w:w="0" w:type="auto"/>
            <w:tcBorders>
              <w:top w:val="nil"/>
              <w:left w:val="nil"/>
              <w:bottom w:val="nil"/>
              <w:right w:val="nil"/>
            </w:tcBorders>
            <w:shd w:val="clear" w:color="auto" w:fill="auto"/>
            <w:noWrap/>
            <w:vAlign w:val="center"/>
          </w:tcPr>
          <w:p w14:paraId="6C095B7A" w14:textId="77777777" w:rsidR="0065555D" w:rsidRPr="008C6292"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tcPr>
          <w:p w14:paraId="3E073EDF" w14:textId="77777777" w:rsidR="0065555D" w:rsidRPr="008C6292" w:rsidRDefault="0065555D" w:rsidP="007049D5">
            <w:pPr>
              <w:spacing w:line="240" w:lineRule="auto"/>
              <w:jc w:val="center"/>
              <w:rPr>
                <w:rFonts w:cs="Times New Roman"/>
                <w:sz w:val="20"/>
                <w:szCs w:val="20"/>
              </w:rPr>
            </w:pPr>
          </w:p>
        </w:tc>
      </w:tr>
      <w:tr w:rsidR="0065555D" w:rsidRPr="004A1AA7" w14:paraId="6C93D9E0" w14:textId="77777777" w:rsidTr="007049D5">
        <w:trPr>
          <w:trHeight w:val="274"/>
          <w:jc w:val="center"/>
        </w:trPr>
        <w:tc>
          <w:tcPr>
            <w:tcW w:w="0" w:type="auto"/>
            <w:tcBorders>
              <w:top w:val="nil"/>
              <w:left w:val="nil"/>
              <w:bottom w:val="nil"/>
              <w:right w:val="nil"/>
            </w:tcBorders>
            <w:shd w:val="clear" w:color="auto" w:fill="auto"/>
            <w:noWrap/>
            <w:vAlign w:val="center"/>
            <w:hideMark/>
          </w:tcPr>
          <w:p w14:paraId="27B7DCCD" w14:textId="77777777" w:rsidR="0065555D" w:rsidRPr="004A1AA7" w:rsidRDefault="0065555D" w:rsidP="007049D5">
            <w:pPr>
              <w:spacing w:after="0" w:line="240" w:lineRule="auto"/>
              <w:jc w:val="left"/>
              <w:rPr>
                <w:rFonts w:eastAsia="Times New Roman" w:cs="Times New Roman"/>
                <w:color w:val="000000"/>
                <w:sz w:val="19"/>
                <w:szCs w:val="19"/>
              </w:rPr>
            </w:pPr>
            <w:r w:rsidRPr="004A1AA7">
              <w:rPr>
                <w:rFonts w:eastAsia="Times New Roman" w:cs="Times New Roman"/>
                <w:color w:val="000000"/>
                <w:sz w:val="19"/>
                <w:szCs w:val="19"/>
              </w:rPr>
              <w:t>D(L1 Category 5)</w:t>
            </w:r>
          </w:p>
        </w:tc>
        <w:tc>
          <w:tcPr>
            <w:tcW w:w="0" w:type="auto"/>
            <w:tcBorders>
              <w:top w:val="nil"/>
              <w:left w:val="nil"/>
              <w:bottom w:val="nil"/>
              <w:right w:val="nil"/>
            </w:tcBorders>
            <w:shd w:val="clear" w:color="auto" w:fill="auto"/>
            <w:noWrap/>
            <w:vAlign w:val="center"/>
            <w:hideMark/>
          </w:tcPr>
          <w:p w14:paraId="539E624A"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0.0121</w:t>
            </w:r>
          </w:p>
        </w:tc>
        <w:tc>
          <w:tcPr>
            <w:tcW w:w="0" w:type="auto"/>
            <w:tcBorders>
              <w:top w:val="nil"/>
              <w:left w:val="nil"/>
              <w:bottom w:val="nil"/>
              <w:right w:val="nil"/>
            </w:tcBorders>
            <w:shd w:val="clear" w:color="auto" w:fill="auto"/>
            <w:noWrap/>
            <w:vAlign w:val="center"/>
            <w:hideMark/>
          </w:tcPr>
          <w:p w14:paraId="7E2D8519"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(1.2921)</w:t>
            </w:r>
          </w:p>
        </w:tc>
        <w:tc>
          <w:tcPr>
            <w:tcW w:w="0" w:type="auto"/>
            <w:tcBorders>
              <w:top w:val="nil"/>
              <w:left w:val="nil"/>
              <w:bottom w:val="nil"/>
              <w:right w:val="nil"/>
            </w:tcBorders>
            <w:shd w:val="clear" w:color="auto" w:fill="auto"/>
            <w:noWrap/>
            <w:vAlign w:val="center"/>
          </w:tcPr>
          <w:p w14:paraId="33581694" w14:textId="77777777" w:rsidR="0065555D" w:rsidRPr="008C6292"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tcPr>
          <w:p w14:paraId="55670767" w14:textId="77777777" w:rsidR="0065555D" w:rsidRPr="008C6292" w:rsidRDefault="0065555D" w:rsidP="007049D5">
            <w:pPr>
              <w:spacing w:line="240" w:lineRule="auto"/>
              <w:jc w:val="center"/>
              <w:rPr>
                <w:rFonts w:cs="Times New Roman"/>
                <w:sz w:val="20"/>
                <w:szCs w:val="20"/>
              </w:rPr>
            </w:pPr>
          </w:p>
        </w:tc>
      </w:tr>
      <w:tr w:rsidR="0065555D" w:rsidRPr="004A1AA7" w14:paraId="5A03D5EC" w14:textId="77777777" w:rsidTr="007049D5">
        <w:trPr>
          <w:trHeight w:val="274"/>
          <w:jc w:val="center"/>
        </w:trPr>
        <w:tc>
          <w:tcPr>
            <w:tcW w:w="0" w:type="auto"/>
            <w:tcBorders>
              <w:top w:val="nil"/>
              <w:left w:val="nil"/>
              <w:bottom w:val="nil"/>
              <w:right w:val="nil"/>
            </w:tcBorders>
            <w:shd w:val="clear" w:color="auto" w:fill="auto"/>
            <w:noWrap/>
            <w:vAlign w:val="center"/>
            <w:hideMark/>
          </w:tcPr>
          <w:p w14:paraId="7F1A4FF2" w14:textId="77777777" w:rsidR="0065555D" w:rsidRPr="004A1AA7" w:rsidRDefault="0065555D" w:rsidP="007049D5">
            <w:pPr>
              <w:spacing w:after="0" w:line="240" w:lineRule="auto"/>
              <w:jc w:val="left"/>
              <w:rPr>
                <w:rFonts w:eastAsia="Times New Roman" w:cs="Times New Roman"/>
                <w:color w:val="000000"/>
                <w:sz w:val="19"/>
                <w:szCs w:val="19"/>
              </w:rPr>
            </w:pPr>
            <w:r w:rsidRPr="004A1AA7">
              <w:rPr>
                <w:rFonts w:eastAsia="Times New Roman" w:cs="Times New Roman"/>
                <w:color w:val="000000"/>
                <w:sz w:val="19"/>
                <w:szCs w:val="19"/>
              </w:rPr>
              <w:t>D(L1 Category 5) × D(L1 Rollover)</w:t>
            </w:r>
          </w:p>
        </w:tc>
        <w:tc>
          <w:tcPr>
            <w:tcW w:w="0" w:type="auto"/>
            <w:tcBorders>
              <w:top w:val="nil"/>
              <w:left w:val="nil"/>
              <w:bottom w:val="nil"/>
              <w:right w:val="nil"/>
            </w:tcBorders>
            <w:shd w:val="clear" w:color="auto" w:fill="auto"/>
            <w:noWrap/>
            <w:vAlign w:val="center"/>
            <w:hideMark/>
          </w:tcPr>
          <w:p w14:paraId="2F79F492"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-0.0183</w:t>
            </w:r>
          </w:p>
        </w:tc>
        <w:tc>
          <w:tcPr>
            <w:tcW w:w="0" w:type="auto"/>
            <w:tcBorders>
              <w:top w:val="nil"/>
              <w:left w:val="nil"/>
              <w:bottom w:val="nil"/>
              <w:right w:val="nil"/>
            </w:tcBorders>
            <w:shd w:val="clear" w:color="auto" w:fill="auto"/>
            <w:noWrap/>
            <w:vAlign w:val="center"/>
            <w:hideMark/>
          </w:tcPr>
          <w:p w14:paraId="74A8500A"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(-1.8066)</w:t>
            </w:r>
          </w:p>
        </w:tc>
        <w:tc>
          <w:tcPr>
            <w:tcW w:w="0" w:type="auto"/>
            <w:tcBorders>
              <w:top w:val="nil"/>
              <w:left w:val="nil"/>
              <w:bottom w:val="nil"/>
              <w:right w:val="nil"/>
            </w:tcBorders>
            <w:shd w:val="clear" w:color="auto" w:fill="auto"/>
            <w:noWrap/>
            <w:vAlign w:val="center"/>
          </w:tcPr>
          <w:p w14:paraId="78138903" w14:textId="77777777" w:rsidR="0065555D" w:rsidRPr="008C6292"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tcPr>
          <w:p w14:paraId="207C422F" w14:textId="77777777" w:rsidR="0065555D" w:rsidRPr="008C6292" w:rsidRDefault="0065555D" w:rsidP="007049D5">
            <w:pPr>
              <w:spacing w:line="240" w:lineRule="auto"/>
              <w:jc w:val="center"/>
              <w:rPr>
                <w:rFonts w:cs="Times New Roman"/>
                <w:sz w:val="20"/>
                <w:szCs w:val="20"/>
              </w:rPr>
            </w:pPr>
          </w:p>
        </w:tc>
      </w:tr>
      <w:tr w:rsidR="0065555D" w:rsidRPr="004A1AA7" w14:paraId="3129DA90" w14:textId="77777777" w:rsidTr="007049D5">
        <w:trPr>
          <w:trHeight w:val="274"/>
          <w:jc w:val="center"/>
        </w:trPr>
        <w:tc>
          <w:tcPr>
            <w:tcW w:w="0" w:type="auto"/>
            <w:tcBorders>
              <w:top w:val="nil"/>
              <w:left w:val="nil"/>
              <w:bottom w:val="nil"/>
              <w:right w:val="nil"/>
            </w:tcBorders>
            <w:shd w:val="clear" w:color="auto" w:fill="auto"/>
            <w:noWrap/>
            <w:vAlign w:val="center"/>
            <w:hideMark/>
          </w:tcPr>
          <w:p w14:paraId="60329832" w14:textId="77777777" w:rsidR="0065555D" w:rsidRPr="004A1AA7" w:rsidRDefault="0065555D" w:rsidP="007049D5">
            <w:pPr>
              <w:spacing w:after="0" w:line="240" w:lineRule="auto"/>
              <w:jc w:val="left"/>
              <w:rPr>
                <w:rFonts w:eastAsia="Times New Roman" w:cs="Times New Roman"/>
                <w:color w:val="000000"/>
                <w:sz w:val="19"/>
                <w:szCs w:val="19"/>
              </w:rPr>
            </w:pPr>
            <w:r w:rsidRPr="004A1AA7">
              <w:rPr>
                <w:rFonts w:eastAsia="Times New Roman" w:cs="Times New Roman"/>
                <w:color w:val="000000"/>
                <w:sz w:val="19"/>
                <w:szCs w:val="19"/>
              </w:rPr>
              <w:t>D(L1 Category 6) × D(L1 Rollover)</w:t>
            </w:r>
          </w:p>
        </w:tc>
        <w:tc>
          <w:tcPr>
            <w:tcW w:w="0" w:type="auto"/>
            <w:tcBorders>
              <w:top w:val="nil"/>
              <w:left w:val="nil"/>
              <w:bottom w:val="nil"/>
              <w:right w:val="nil"/>
            </w:tcBorders>
            <w:shd w:val="clear" w:color="auto" w:fill="auto"/>
            <w:noWrap/>
            <w:vAlign w:val="center"/>
            <w:hideMark/>
          </w:tcPr>
          <w:p w14:paraId="1005B1B9"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-0.0113</w:t>
            </w:r>
          </w:p>
        </w:tc>
        <w:tc>
          <w:tcPr>
            <w:tcW w:w="0" w:type="auto"/>
            <w:tcBorders>
              <w:top w:val="nil"/>
              <w:left w:val="nil"/>
              <w:bottom w:val="nil"/>
              <w:right w:val="nil"/>
            </w:tcBorders>
            <w:shd w:val="clear" w:color="auto" w:fill="auto"/>
            <w:noWrap/>
            <w:vAlign w:val="center"/>
            <w:hideMark/>
          </w:tcPr>
          <w:p w14:paraId="457FCDD7"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(-1.9854)</w:t>
            </w:r>
          </w:p>
        </w:tc>
        <w:tc>
          <w:tcPr>
            <w:tcW w:w="0" w:type="auto"/>
            <w:tcBorders>
              <w:top w:val="nil"/>
              <w:left w:val="nil"/>
              <w:bottom w:val="nil"/>
              <w:right w:val="nil"/>
            </w:tcBorders>
            <w:shd w:val="clear" w:color="auto" w:fill="auto"/>
            <w:noWrap/>
            <w:vAlign w:val="center"/>
          </w:tcPr>
          <w:p w14:paraId="53087D75" w14:textId="77777777" w:rsidR="0065555D" w:rsidRPr="008C6292"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tcPr>
          <w:p w14:paraId="07C1CEDE" w14:textId="77777777" w:rsidR="0065555D" w:rsidRPr="008C6292" w:rsidRDefault="0065555D" w:rsidP="007049D5">
            <w:pPr>
              <w:spacing w:line="240" w:lineRule="auto"/>
              <w:jc w:val="center"/>
              <w:rPr>
                <w:rFonts w:cs="Times New Roman"/>
                <w:sz w:val="20"/>
                <w:szCs w:val="20"/>
              </w:rPr>
            </w:pPr>
          </w:p>
        </w:tc>
      </w:tr>
      <w:tr w:rsidR="0065555D" w:rsidRPr="004A1AA7" w14:paraId="5679A2E1" w14:textId="77777777" w:rsidTr="007049D5">
        <w:trPr>
          <w:trHeight w:val="274"/>
          <w:jc w:val="center"/>
        </w:trPr>
        <w:tc>
          <w:tcPr>
            <w:tcW w:w="0" w:type="auto"/>
            <w:tcBorders>
              <w:top w:val="nil"/>
              <w:left w:val="nil"/>
              <w:bottom w:val="nil"/>
              <w:right w:val="nil"/>
            </w:tcBorders>
            <w:shd w:val="clear" w:color="auto" w:fill="auto"/>
            <w:noWrap/>
            <w:vAlign w:val="center"/>
            <w:hideMark/>
          </w:tcPr>
          <w:p w14:paraId="2DB29DD5" w14:textId="77777777" w:rsidR="0065555D" w:rsidRPr="004A1AA7" w:rsidRDefault="0065555D" w:rsidP="007049D5">
            <w:pPr>
              <w:spacing w:after="0" w:line="240" w:lineRule="auto"/>
              <w:jc w:val="left"/>
              <w:rPr>
                <w:rFonts w:eastAsia="Times New Roman" w:cs="Times New Roman"/>
                <w:sz w:val="19"/>
                <w:szCs w:val="19"/>
              </w:rPr>
            </w:pPr>
            <w:r w:rsidRPr="004A1AA7">
              <w:rPr>
                <w:rFonts w:eastAsia="Times New Roman" w:cs="Times New Roman"/>
                <w:sz w:val="19"/>
                <w:szCs w:val="19"/>
              </w:rPr>
              <w:t>D(HHI quantile=1)</w:t>
            </w:r>
          </w:p>
        </w:tc>
        <w:tc>
          <w:tcPr>
            <w:tcW w:w="0" w:type="auto"/>
            <w:tcBorders>
              <w:top w:val="nil"/>
              <w:left w:val="nil"/>
              <w:bottom w:val="nil"/>
              <w:right w:val="nil"/>
            </w:tcBorders>
            <w:shd w:val="clear" w:color="auto" w:fill="auto"/>
            <w:noWrap/>
            <w:vAlign w:val="center"/>
            <w:hideMark/>
          </w:tcPr>
          <w:p w14:paraId="385DADDA" w14:textId="77777777" w:rsidR="0065555D" w:rsidRPr="008C6292"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hideMark/>
          </w:tcPr>
          <w:p w14:paraId="7CE343E2" w14:textId="77777777" w:rsidR="0065555D" w:rsidRPr="008C6292"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tcPr>
          <w:p w14:paraId="35B01E14"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-0.0174</w:t>
            </w:r>
          </w:p>
        </w:tc>
        <w:tc>
          <w:tcPr>
            <w:tcW w:w="0" w:type="auto"/>
            <w:tcBorders>
              <w:top w:val="nil"/>
              <w:left w:val="nil"/>
              <w:bottom w:val="nil"/>
              <w:right w:val="nil"/>
            </w:tcBorders>
            <w:shd w:val="clear" w:color="auto" w:fill="auto"/>
            <w:noWrap/>
            <w:vAlign w:val="center"/>
          </w:tcPr>
          <w:p w14:paraId="407EAB2D"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(-3.3765)</w:t>
            </w:r>
          </w:p>
        </w:tc>
      </w:tr>
      <w:tr w:rsidR="0065555D" w:rsidRPr="004A1AA7" w14:paraId="11CBEBF8" w14:textId="77777777" w:rsidTr="007049D5">
        <w:trPr>
          <w:trHeight w:val="274"/>
          <w:jc w:val="center"/>
        </w:trPr>
        <w:tc>
          <w:tcPr>
            <w:tcW w:w="0" w:type="auto"/>
            <w:tcBorders>
              <w:top w:val="nil"/>
              <w:left w:val="nil"/>
              <w:bottom w:val="nil"/>
              <w:right w:val="nil"/>
            </w:tcBorders>
            <w:shd w:val="clear" w:color="auto" w:fill="auto"/>
            <w:noWrap/>
            <w:vAlign w:val="center"/>
            <w:hideMark/>
          </w:tcPr>
          <w:p w14:paraId="136A8129" w14:textId="77777777" w:rsidR="0065555D" w:rsidRPr="004A1AA7" w:rsidRDefault="0065555D" w:rsidP="007049D5">
            <w:pPr>
              <w:spacing w:after="0" w:line="240" w:lineRule="auto"/>
              <w:jc w:val="left"/>
              <w:rPr>
                <w:rFonts w:eastAsia="Times New Roman" w:cs="Times New Roman"/>
                <w:sz w:val="19"/>
                <w:szCs w:val="19"/>
              </w:rPr>
            </w:pPr>
            <w:r w:rsidRPr="004A1AA7">
              <w:rPr>
                <w:rFonts w:eastAsia="Times New Roman" w:cs="Times New Roman"/>
                <w:sz w:val="19"/>
                <w:szCs w:val="19"/>
              </w:rPr>
              <w:t>D(HHI quantile=1)</w:t>
            </w:r>
            <w:r w:rsidRPr="004A1AA7">
              <w:rPr>
                <w:rFonts w:eastAsia="Times New Roman" w:cs="Times New Roman"/>
                <w:color w:val="000000"/>
                <w:sz w:val="19"/>
                <w:szCs w:val="19"/>
              </w:rPr>
              <w:t xml:space="preserve"> × D(L1 Rollover)</w:t>
            </w:r>
          </w:p>
        </w:tc>
        <w:tc>
          <w:tcPr>
            <w:tcW w:w="0" w:type="auto"/>
            <w:tcBorders>
              <w:top w:val="nil"/>
              <w:left w:val="nil"/>
              <w:bottom w:val="nil"/>
              <w:right w:val="nil"/>
            </w:tcBorders>
            <w:shd w:val="clear" w:color="auto" w:fill="auto"/>
            <w:noWrap/>
            <w:vAlign w:val="center"/>
            <w:hideMark/>
          </w:tcPr>
          <w:p w14:paraId="77E9B930" w14:textId="77777777" w:rsidR="0065555D" w:rsidRPr="008C6292"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hideMark/>
          </w:tcPr>
          <w:p w14:paraId="5C726896" w14:textId="77777777" w:rsidR="0065555D" w:rsidRPr="008C6292"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tcPr>
          <w:p w14:paraId="2C232FF7"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0.0044</w:t>
            </w:r>
          </w:p>
        </w:tc>
        <w:tc>
          <w:tcPr>
            <w:tcW w:w="0" w:type="auto"/>
            <w:tcBorders>
              <w:top w:val="nil"/>
              <w:left w:val="nil"/>
              <w:bottom w:val="nil"/>
              <w:right w:val="nil"/>
            </w:tcBorders>
            <w:shd w:val="clear" w:color="auto" w:fill="auto"/>
            <w:noWrap/>
            <w:vAlign w:val="center"/>
          </w:tcPr>
          <w:p w14:paraId="5CF3D8AA"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(0.8688)</w:t>
            </w:r>
          </w:p>
        </w:tc>
      </w:tr>
      <w:tr w:rsidR="0065555D" w:rsidRPr="004A1AA7" w14:paraId="63AA5CDB" w14:textId="77777777" w:rsidTr="007049D5">
        <w:trPr>
          <w:trHeight w:val="274"/>
          <w:jc w:val="center"/>
        </w:trPr>
        <w:tc>
          <w:tcPr>
            <w:tcW w:w="0" w:type="auto"/>
            <w:tcBorders>
              <w:top w:val="nil"/>
              <w:left w:val="nil"/>
              <w:bottom w:val="nil"/>
              <w:right w:val="nil"/>
            </w:tcBorders>
            <w:shd w:val="clear" w:color="auto" w:fill="auto"/>
            <w:noWrap/>
            <w:vAlign w:val="center"/>
            <w:hideMark/>
          </w:tcPr>
          <w:p w14:paraId="57284662" w14:textId="77777777" w:rsidR="0065555D" w:rsidRPr="004A1AA7" w:rsidRDefault="0065555D" w:rsidP="007049D5">
            <w:pPr>
              <w:spacing w:after="0" w:line="240" w:lineRule="auto"/>
              <w:jc w:val="left"/>
              <w:rPr>
                <w:rFonts w:eastAsia="Times New Roman" w:cs="Times New Roman"/>
                <w:sz w:val="19"/>
                <w:szCs w:val="19"/>
              </w:rPr>
            </w:pPr>
            <w:r w:rsidRPr="004A1AA7">
              <w:rPr>
                <w:rFonts w:eastAsia="Times New Roman" w:cs="Times New Roman"/>
                <w:sz w:val="19"/>
                <w:szCs w:val="19"/>
              </w:rPr>
              <w:t>D(HHI quantile=2)</w:t>
            </w:r>
          </w:p>
        </w:tc>
        <w:tc>
          <w:tcPr>
            <w:tcW w:w="0" w:type="auto"/>
            <w:tcBorders>
              <w:top w:val="nil"/>
              <w:left w:val="nil"/>
              <w:bottom w:val="nil"/>
              <w:right w:val="nil"/>
            </w:tcBorders>
            <w:shd w:val="clear" w:color="auto" w:fill="auto"/>
            <w:noWrap/>
            <w:vAlign w:val="center"/>
            <w:hideMark/>
          </w:tcPr>
          <w:p w14:paraId="3F210DC5" w14:textId="77777777" w:rsidR="0065555D" w:rsidRPr="008C6292"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hideMark/>
          </w:tcPr>
          <w:p w14:paraId="721A152E" w14:textId="77777777" w:rsidR="0065555D" w:rsidRPr="008C6292"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tcPr>
          <w:p w14:paraId="6DAB8503"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0.0049</w:t>
            </w:r>
          </w:p>
        </w:tc>
        <w:tc>
          <w:tcPr>
            <w:tcW w:w="0" w:type="auto"/>
            <w:tcBorders>
              <w:top w:val="nil"/>
              <w:left w:val="nil"/>
              <w:bottom w:val="nil"/>
              <w:right w:val="nil"/>
            </w:tcBorders>
            <w:shd w:val="clear" w:color="auto" w:fill="auto"/>
            <w:noWrap/>
            <w:vAlign w:val="center"/>
          </w:tcPr>
          <w:p w14:paraId="681AB54E"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(1.0322)</w:t>
            </w:r>
          </w:p>
        </w:tc>
      </w:tr>
      <w:tr w:rsidR="0065555D" w:rsidRPr="004A1AA7" w14:paraId="260DF3F7" w14:textId="77777777" w:rsidTr="007049D5">
        <w:trPr>
          <w:trHeight w:val="274"/>
          <w:jc w:val="center"/>
        </w:trPr>
        <w:tc>
          <w:tcPr>
            <w:tcW w:w="0" w:type="auto"/>
            <w:tcBorders>
              <w:top w:val="nil"/>
              <w:left w:val="nil"/>
              <w:bottom w:val="nil"/>
              <w:right w:val="nil"/>
            </w:tcBorders>
            <w:shd w:val="clear" w:color="auto" w:fill="auto"/>
            <w:noWrap/>
            <w:vAlign w:val="center"/>
            <w:hideMark/>
          </w:tcPr>
          <w:p w14:paraId="19B93080" w14:textId="77777777" w:rsidR="0065555D" w:rsidRPr="004A1AA7" w:rsidRDefault="0065555D" w:rsidP="007049D5">
            <w:pPr>
              <w:spacing w:after="0" w:line="240" w:lineRule="auto"/>
              <w:jc w:val="left"/>
              <w:rPr>
                <w:rFonts w:eastAsia="Times New Roman" w:cs="Times New Roman"/>
                <w:sz w:val="19"/>
                <w:szCs w:val="19"/>
              </w:rPr>
            </w:pPr>
            <w:r w:rsidRPr="004A1AA7">
              <w:rPr>
                <w:rFonts w:eastAsia="Times New Roman" w:cs="Times New Roman"/>
                <w:sz w:val="19"/>
                <w:szCs w:val="19"/>
              </w:rPr>
              <w:t>D(HHI quantile=2)</w:t>
            </w:r>
            <w:r w:rsidRPr="004A1AA7">
              <w:rPr>
                <w:rFonts w:eastAsia="Times New Roman" w:cs="Times New Roman"/>
                <w:color w:val="000000"/>
                <w:sz w:val="19"/>
                <w:szCs w:val="19"/>
              </w:rPr>
              <w:t xml:space="preserve"> × D(L1 Rollover)</w:t>
            </w:r>
          </w:p>
        </w:tc>
        <w:tc>
          <w:tcPr>
            <w:tcW w:w="0" w:type="auto"/>
            <w:tcBorders>
              <w:top w:val="nil"/>
              <w:left w:val="nil"/>
              <w:bottom w:val="nil"/>
              <w:right w:val="nil"/>
            </w:tcBorders>
            <w:shd w:val="clear" w:color="auto" w:fill="auto"/>
            <w:noWrap/>
            <w:vAlign w:val="center"/>
            <w:hideMark/>
          </w:tcPr>
          <w:p w14:paraId="70866A66" w14:textId="77777777" w:rsidR="0065555D" w:rsidRPr="008C6292"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hideMark/>
          </w:tcPr>
          <w:p w14:paraId="6FACCB54" w14:textId="77777777" w:rsidR="0065555D" w:rsidRPr="008C6292"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tcPr>
          <w:p w14:paraId="53015485"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-0.0103</w:t>
            </w:r>
          </w:p>
        </w:tc>
        <w:tc>
          <w:tcPr>
            <w:tcW w:w="0" w:type="auto"/>
            <w:tcBorders>
              <w:top w:val="nil"/>
              <w:left w:val="nil"/>
              <w:bottom w:val="nil"/>
              <w:right w:val="nil"/>
            </w:tcBorders>
            <w:shd w:val="clear" w:color="auto" w:fill="auto"/>
            <w:noWrap/>
            <w:vAlign w:val="center"/>
          </w:tcPr>
          <w:p w14:paraId="751447A8"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(-2.3304)</w:t>
            </w:r>
          </w:p>
        </w:tc>
      </w:tr>
      <w:tr w:rsidR="0065555D" w:rsidRPr="004A1AA7" w14:paraId="620A2E1F" w14:textId="77777777" w:rsidTr="007049D5">
        <w:trPr>
          <w:trHeight w:val="274"/>
          <w:jc w:val="center"/>
        </w:trPr>
        <w:tc>
          <w:tcPr>
            <w:tcW w:w="0" w:type="auto"/>
            <w:tcBorders>
              <w:top w:val="nil"/>
              <w:left w:val="nil"/>
              <w:bottom w:val="nil"/>
              <w:right w:val="nil"/>
            </w:tcBorders>
            <w:shd w:val="clear" w:color="auto" w:fill="auto"/>
            <w:noWrap/>
            <w:vAlign w:val="center"/>
            <w:hideMark/>
          </w:tcPr>
          <w:p w14:paraId="00550EFF" w14:textId="77777777" w:rsidR="0065555D" w:rsidRPr="004A1AA7" w:rsidRDefault="0065555D" w:rsidP="007049D5">
            <w:pPr>
              <w:spacing w:after="0" w:line="240" w:lineRule="auto"/>
              <w:jc w:val="left"/>
              <w:rPr>
                <w:rFonts w:eastAsia="Times New Roman" w:cs="Times New Roman"/>
                <w:sz w:val="19"/>
                <w:szCs w:val="19"/>
              </w:rPr>
            </w:pPr>
            <w:r w:rsidRPr="004A1AA7">
              <w:rPr>
                <w:rFonts w:eastAsia="Times New Roman" w:cs="Times New Roman"/>
                <w:sz w:val="19"/>
                <w:szCs w:val="19"/>
              </w:rPr>
              <w:t>D(HHI quantile=3)</w:t>
            </w:r>
          </w:p>
        </w:tc>
        <w:tc>
          <w:tcPr>
            <w:tcW w:w="0" w:type="auto"/>
            <w:tcBorders>
              <w:top w:val="nil"/>
              <w:left w:val="nil"/>
              <w:bottom w:val="nil"/>
              <w:right w:val="nil"/>
            </w:tcBorders>
            <w:shd w:val="clear" w:color="auto" w:fill="auto"/>
            <w:noWrap/>
            <w:vAlign w:val="center"/>
            <w:hideMark/>
          </w:tcPr>
          <w:p w14:paraId="5A2CEBF5" w14:textId="77777777" w:rsidR="0065555D" w:rsidRPr="008C6292"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hideMark/>
          </w:tcPr>
          <w:p w14:paraId="0864ED00" w14:textId="77777777" w:rsidR="0065555D" w:rsidRPr="008C6292"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tcPr>
          <w:p w14:paraId="22E4D671"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0.0049</w:t>
            </w:r>
          </w:p>
        </w:tc>
        <w:tc>
          <w:tcPr>
            <w:tcW w:w="0" w:type="auto"/>
            <w:tcBorders>
              <w:top w:val="nil"/>
              <w:left w:val="nil"/>
              <w:bottom w:val="nil"/>
              <w:right w:val="nil"/>
            </w:tcBorders>
            <w:shd w:val="clear" w:color="auto" w:fill="auto"/>
            <w:noWrap/>
            <w:vAlign w:val="center"/>
          </w:tcPr>
          <w:p w14:paraId="400384CB"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(0.9993)</w:t>
            </w:r>
          </w:p>
        </w:tc>
      </w:tr>
      <w:tr w:rsidR="0065555D" w:rsidRPr="004A1AA7" w14:paraId="7123B042" w14:textId="77777777" w:rsidTr="007049D5">
        <w:trPr>
          <w:trHeight w:val="274"/>
          <w:jc w:val="center"/>
        </w:trPr>
        <w:tc>
          <w:tcPr>
            <w:tcW w:w="0" w:type="auto"/>
            <w:tcBorders>
              <w:top w:val="nil"/>
              <w:left w:val="nil"/>
              <w:bottom w:val="nil"/>
              <w:right w:val="nil"/>
            </w:tcBorders>
            <w:shd w:val="clear" w:color="auto" w:fill="auto"/>
            <w:noWrap/>
            <w:vAlign w:val="center"/>
            <w:hideMark/>
          </w:tcPr>
          <w:p w14:paraId="3B9834F4" w14:textId="77777777" w:rsidR="0065555D" w:rsidRPr="004A1AA7" w:rsidRDefault="0065555D" w:rsidP="007049D5">
            <w:pPr>
              <w:spacing w:after="0" w:line="240" w:lineRule="auto"/>
              <w:jc w:val="left"/>
              <w:rPr>
                <w:rFonts w:eastAsia="Times New Roman" w:cs="Times New Roman"/>
                <w:sz w:val="19"/>
                <w:szCs w:val="19"/>
              </w:rPr>
            </w:pPr>
            <w:r w:rsidRPr="004A1AA7">
              <w:rPr>
                <w:rFonts w:eastAsia="Times New Roman" w:cs="Times New Roman"/>
                <w:sz w:val="19"/>
                <w:szCs w:val="19"/>
              </w:rPr>
              <w:t>D(HHI quantile=3)</w:t>
            </w:r>
            <w:r w:rsidRPr="004A1AA7">
              <w:rPr>
                <w:rFonts w:eastAsia="Times New Roman" w:cs="Times New Roman"/>
                <w:color w:val="000000"/>
                <w:sz w:val="19"/>
                <w:szCs w:val="19"/>
              </w:rPr>
              <w:t xml:space="preserve"> × D(L1 Rollover)</w:t>
            </w:r>
          </w:p>
        </w:tc>
        <w:tc>
          <w:tcPr>
            <w:tcW w:w="0" w:type="auto"/>
            <w:tcBorders>
              <w:top w:val="nil"/>
              <w:left w:val="nil"/>
              <w:bottom w:val="nil"/>
              <w:right w:val="nil"/>
            </w:tcBorders>
            <w:shd w:val="clear" w:color="auto" w:fill="auto"/>
            <w:noWrap/>
            <w:vAlign w:val="center"/>
            <w:hideMark/>
          </w:tcPr>
          <w:p w14:paraId="59343860" w14:textId="77777777" w:rsidR="0065555D" w:rsidRPr="008C6292"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hideMark/>
          </w:tcPr>
          <w:p w14:paraId="43639C82" w14:textId="77777777" w:rsidR="0065555D" w:rsidRPr="008C6292"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tcPr>
          <w:p w14:paraId="5F77F4B3"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-0.0059</w:t>
            </w:r>
          </w:p>
        </w:tc>
        <w:tc>
          <w:tcPr>
            <w:tcW w:w="0" w:type="auto"/>
            <w:tcBorders>
              <w:top w:val="nil"/>
              <w:left w:val="nil"/>
              <w:bottom w:val="nil"/>
              <w:right w:val="nil"/>
            </w:tcBorders>
            <w:shd w:val="clear" w:color="auto" w:fill="auto"/>
            <w:noWrap/>
            <w:vAlign w:val="center"/>
          </w:tcPr>
          <w:p w14:paraId="17F37030"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(-1.4431)</w:t>
            </w:r>
          </w:p>
        </w:tc>
      </w:tr>
      <w:tr w:rsidR="0065555D" w:rsidRPr="004A1AA7" w14:paraId="6228CC1D" w14:textId="77777777" w:rsidTr="007049D5">
        <w:trPr>
          <w:trHeight w:val="274"/>
          <w:jc w:val="center"/>
        </w:trPr>
        <w:tc>
          <w:tcPr>
            <w:tcW w:w="0" w:type="auto"/>
            <w:tcBorders>
              <w:top w:val="nil"/>
              <w:left w:val="nil"/>
              <w:bottom w:val="nil"/>
              <w:right w:val="nil"/>
            </w:tcBorders>
            <w:shd w:val="clear" w:color="auto" w:fill="auto"/>
            <w:noWrap/>
            <w:vAlign w:val="center"/>
            <w:hideMark/>
          </w:tcPr>
          <w:p w14:paraId="012DD77B" w14:textId="77777777" w:rsidR="0065555D" w:rsidRPr="004A1AA7" w:rsidRDefault="0065555D" w:rsidP="007049D5">
            <w:pPr>
              <w:spacing w:after="0" w:line="240" w:lineRule="auto"/>
              <w:jc w:val="left"/>
              <w:rPr>
                <w:rFonts w:eastAsia="Times New Roman" w:cs="Times New Roman"/>
                <w:sz w:val="19"/>
                <w:szCs w:val="19"/>
              </w:rPr>
            </w:pPr>
            <w:r w:rsidRPr="004A1AA7">
              <w:rPr>
                <w:rFonts w:eastAsia="Times New Roman" w:cs="Times New Roman"/>
                <w:sz w:val="19"/>
                <w:szCs w:val="19"/>
              </w:rPr>
              <w:t>D(HHI quantile=4)</w:t>
            </w:r>
          </w:p>
        </w:tc>
        <w:tc>
          <w:tcPr>
            <w:tcW w:w="0" w:type="auto"/>
            <w:tcBorders>
              <w:top w:val="nil"/>
              <w:left w:val="nil"/>
              <w:bottom w:val="nil"/>
              <w:right w:val="nil"/>
            </w:tcBorders>
            <w:shd w:val="clear" w:color="auto" w:fill="auto"/>
            <w:noWrap/>
            <w:vAlign w:val="center"/>
            <w:hideMark/>
          </w:tcPr>
          <w:p w14:paraId="56B034C4" w14:textId="77777777" w:rsidR="0065555D" w:rsidRPr="008C6292"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hideMark/>
          </w:tcPr>
          <w:p w14:paraId="40E52E0D" w14:textId="77777777" w:rsidR="0065555D" w:rsidRPr="008C6292"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tcPr>
          <w:p w14:paraId="33248EC7"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0.0152</w:t>
            </w:r>
          </w:p>
        </w:tc>
        <w:tc>
          <w:tcPr>
            <w:tcW w:w="0" w:type="auto"/>
            <w:tcBorders>
              <w:top w:val="nil"/>
              <w:left w:val="nil"/>
              <w:bottom w:val="nil"/>
              <w:right w:val="nil"/>
            </w:tcBorders>
            <w:shd w:val="clear" w:color="auto" w:fill="auto"/>
            <w:noWrap/>
            <w:vAlign w:val="center"/>
          </w:tcPr>
          <w:p w14:paraId="1C862AE8"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(3.6826)</w:t>
            </w:r>
          </w:p>
        </w:tc>
      </w:tr>
      <w:tr w:rsidR="0065555D" w:rsidRPr="004A1AA7" w14:paraId="3D60B209" w14:textId="77777777" w:rsidTr="007049D5">
        <w:trPr>
          <w:trHeight w:val="274"/>
          <w:jc w:val="center"/>
        </w:trPr>
        <w:tc>
          <w:tcPr>
            <w:tcW w:w="0" w:type="auto"/>
            <w:tcBorders>
              <w:top w:val="nil"/>
              <w:left w:val="nil"/>
              <w:bottom w:val="nil"/>
              <w:right w:val="nil"/>
            </w:tcBorders>
            <w:shd w:val="clear" w:color="auto" w:fill="auto"/>
            <w:noWrap/>
            <w:vAlign w:val="center"/>
            <w:hideMark/>
          </w:tcPr>
          <w:p w14:paraId="522B5976" w14:textId="77777777" w:rsidR="0065555D" w:rsidRPr="004A1AA7" w:rsidRDefault="0065555D" w:rsidP="007049D5">
            <w:pPr>
              <w:spacing w:after="0" w:line="240" w:lineRule="auto"/>
              <w:jc w:val="left"/>
              <w:rPr>
                <w:rFonts w:eastAsia="Times New Roman" w:cs="Times New Roman"/>
                <w:sz w:val="19"/>
                <w:szCs w:val="19"/>
              </w:rPr>
            </w:pPr>
            <w:r w:rsidRPr="004A1AA7">
              <w:rPr>
                <w:rFonts w:eastAsia="Times New Roman" w:cs="Times New Roman"/>
                <w:sz w:val="19"/>
                <w:szCs w:val="19"/>
              </w:rPr>
              <w:t>D(HHI quantile=4)</w:t>
            </w:r>
            <w:r w:rsidRPr="004A1AA7">
              <w:rPr>
                <w:rFonts w:eastAsia="Times New Roman" w:cs="Times New Roman"/>
                <w:color w:val="000000"/>
                <w:sz w:val="19"/>
                <w:szCs w:val="19"/>
              </w:rPr>
              <w:t xml:space="preserve"> × D(L1 Rollover)</w:t>
            </w:r>
          </w:p>
        </w:tc>
        <w:tc>
          <w:tcPr>
            <w:tcW w:w="0" w:type="auto"/>
            <w:tcBorders>
              <w:top w:val="nil"/>
              <w:left w:val="nil"/>
              <w:bottom w:val="nil"/>
              <w:right w:val="nil"/>
            </w:tcBorders>
            <w:shd w:val="clear" w:color="auto" w:fill="auto"/>
            <w:noWrap/>
            <w:vAlign w:val="center"/>
            <w:hideMark/>
          </w:tcPr>
          <w:p w14:paraId="6413F768" w14:textId="77777777" w:rsidR="0065555D" w:rsidRPr="008C6292"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hideMark/>
          </w:tcPr>
          <w:p w14:paraId="6D072E11" w14:textId="77777777" w:rsidR="0065555D" w:rsidRPr="008C6292"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tcPr>
          <w:p w14:paraId="477F217C"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-0.0212</w:t>
            </w:r>
          </w:p>
        </w:tc>
        <w:tc>
          <w:tcPr>
            <w:tcW w:w="0" w:type="auto"/>
            <w:tcBorders>
              <w:top w:val="nil"/>
              <w:left w:val="nil"/>
              <w:bottom w:val="nil"/>
              <w:right w:val="nil"/>
            </w:tcBorders>
            <w:shd w:val="clear" w:color="auto" w:fill="auto"/>
            <w:noWrap/>
            <w:vAlign w:val="center"/>
          </w:tcPr>
          <w:p w14:paraId="73346DAE"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(-5.5753)</w:t>
            </w:r>
          </w:p>
        </w:tc>
      </w:tr>
      <w:tr w:rsidR="0065555D" w:rsidRPr="004A1AA7" w14:paraId="614CCFFE" w14:textId="77777777" w:rsidTr="007049D5">
        <w:trPr>
          <w:trHeight w:val="274"/>
          <w:jc w:val="center"/>
        </w:trPr>
        <w:tc>
          <w:tcPr>
            <w:tcW w:w="0" w:type="auto"/>
            <w:tcBorders>
              <w:top w:val="nil"/>
              <w:left w:val="nil"/>
              <w:bottom w:val="nil"/>
              <w:right w:val="nil"/>
            </w:tcBorders>
            <w:shd w:val="clear" w:color="auto" w:fill="auto"/>
            <w:noWrap/>
            <w:vAlign w:val="center"/>
            <w:hideMark/>
          </w:tcPr>
          <w:p w14:paraId="419AC6A1" w14:textId="77777777" w:rsidR="0065555D" w:rsidRPr="004A1AA7" w:rsidRDefault="0065555D" w:rsidP="007049D5">
            <w:pPr>
              <w:spacing w:after="0" w:line="240" w:lineRule="auto"/>
              <w:jc w:val="left"/>
              <w:rPr>
                <w:rFonts w:eastAsia="Times New Roman" w:cs="Times New Roman"/>
                <w:sz w:val="19"/>
                <w:szCs w:val="19"/>
              </w:rPr>
            </w:pPr>
            <w:r w:rsidRPr="004A1AA7">
              <w:rPr>
                <w:rFonts w:eastAsia="Times New Roman" w:cs="Times New Roman"/>
                <w:sz w:val="19"/>
                <w:szCs w:val="19"/>
              </w:rPr>
              <w:t>D(HHI quantile=5)</w:t>
            </w:r>
          </w:p>
        </w:tc>
        <w:tc>
          <w:tcPr>
            <w:tcW w:w="0" w:type="auto"/>
            <w:tcBorders>
              <w:top w:val="nil"/>
              <w:left w:val="nil"/>
              <w:bottom w:val="nil"/>
              <w:right w:val="nil"/>
            </w:tcBorders>
            <w:shd w:val="clear" w:color="auto" w:fill="auto"/>
            <w:noWrap/>
            <w:vAlign w:val="center"/>
            <w:hideMark/>
          </w:tcPr>
          <w:p w14:paraId="69C2F3A4" w14:textId="77777777" w:rsidR="0065555D" w:rsidRPr="008C6292"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hideMark/>
          </w:tcPr>
          <w:p w14:paraId="7709BCA8" w14:textId="77777777" w:rsidR="0065555D" w:rsidRPr="008C6292"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tcPr>
          <w:p w14:paraId="4B977051"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0.0156</w:t>
            </w:r>
          </w:p>
        </w:tc>
        <w:tc>
          <w:tcPr>
            <w:tcW w:w="0" w:type="auto"/>
            <w:tcBorders>
              <w:top w:val="nil"/>
              <w:left w:val="nil"/>
              <w:bottom w:val="nil"/>
              <w:right w:val="nil"/>
            </w:tcBorders>
            <w:shd w:val="clear" w:color="auto" w:fill="auto"/>
            <w:noWrap/>
            <w:vAlign w:val="center"/>
          </w:tcPr>
          <w:p w14:paraId="0BBCB3DD"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(3.7602)</w:t>
            </w:r>
          </w:p>
        </w:tc>
      </w:tr>
      <w:tr w:rsidR="0065555D" w:rsidRPr="004A1AA7" w14:paraId="5D45D137" w14:textId="77777777" w:rsidTr="007049D5">
        <w:trPr>
          <w:trHeight w:val="274"/>
          <w:jc w:val="center"/>
        </w:trPr>
        <w:tc>
          <w:tcPr>
            <w:tcW w:w="0" w:type="auto"/>
            <w:tcBorders>
              <w:top w:val="nil"/>
              <w:left w:val="nil"/>
              <w:bottom w:val="nil"/>
              <w:right w:val="nil"/>
            </w:tcBorders>
            <w:shd w:val="clear" w:color="auto" w:fill="auto"/>
            <w:noWrap/>
            <w:vAlign w:val="center"/>
            <w:hideMark/>
          </w:tcPr>
          <w:p w14:paraId="5AD431A4" w14:textId="77777777" w:rsidR="0065555D" w:rsidRPr="004A1AA7" w:rsidRDefault="0065555D" w:rsidP="007049D5">
            <w:pPr>
              <w:spacing w:after="0" w:line="240" w:lineRule="auto"/>
              <w:jc w:val="left"/>
              <w:rPr>
                <w:rFonts w:eastAsia="Times New Roman" w:cs="Times New Roman"/>
                <w:sz w:val="19"/>
                <w:szCs w:val="19"/>
              </w:rPr>
            </w:pPr>
            <w:r w:rsidRPr="004A1AA7">
              <w:rPr>
                <w:rFonts w:eastAsia="Times New Roman" w:cs="Times New Roman"/>
                <w:sz w:val="19"/>
                <w:szCs w:val="19"/>
              </w:rPr>
              <w:t>D(HHI quantile=5)</w:t>
            </w:r>
            <w:r w:rsidRPr="004A1AA7">
              <w:rPr>
                <w:rFonts w:eastAsia="Times New Roman" w:cs="Times New Roman"/>
                <w:color w:val="000000"/>
                <w:sz w:val="19"/>
                <w:szCs w:val="19"/>
              </w:rPr>
              <w:t xml:space="preserve"> × D(L1 Rollover)</w:t>
            </w:r>
          </w:p>
        </w:tc>
        <w:tc>
          <w:tcPr>
            <w:tcW w:w="0" w:type="auto"/>
            <w:tcBorders>
              <w:top w:val="nil"/>
              <w:left w:val="nil"/>
              <w:bottom w:val="nil"/>
              <w:right w:val="nil"/>
            </w:tcBorders>
            <w:shd w:val="clear" w:color="auto" w:fill="auto"/>
            <w:noWrap/>
            <w:vAlign w:val="center"/>
            <w:hideMark/>
          </w:tcPr>
          <w:p w14:paraId="19814FC6" w14:textId="77777777" w:rsidR="0065555D" w:rsidRPr="008C6292"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hideMark/>
          </w:tcPr>
          <w:p w14:paraId="10DE27B0" w14:textId="77777777" w:rsidR="0065555D" w:rsidRPr="008C6292"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tcPr>
          <w:p w14:paraId="35A54CBA"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-0.0140</w:t>
            </w:r>
          </w:p>
        </w:tc>
        <w:tc>
          <w:tcPr>
            <w:tcW w:w="0" w:type="auto"/>
            <w:tcBorders>
              <w:top w:val="nil"/>
              <w:left w:val="nil"/>
              <w:bottom w:val="nil"/>
              <w:right w:val="nil"/>
            </w:tcBorders>
            <w:shd w:val="clear" w:color="auto" w:fill="auto"/>
            <w:noWrap/>
            <w:vAlign w:val="center"/>
          </w:tcPr>
          <w:p w14:paraId="217D417B"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(-4.5594)</w:t>
            </w:r>
          </w:p>
        </w:tc>
      </w:tr>
      <w:tr w:rsidR="0065555D" w:rsidRPr="004A1AA7" w14:paraId="4DC9E879" w14:textId="77777777" w:rsidTr="007049D5">
        <w:trPr>
          <w:trHeight w:val="274"/>
          <w:jc w:val="center"/>
        </w:trPr>
        <w:tc>
          <w:tcPr>
            <w:tcW w:w="0" w:type="auto"/>
            <w:tcBorders>
              <w:top w:val="nil"/>
              <w:left w:val="nil"/>
              <w:bottom w:val="nil"/>
              <w:right w:val="nil"/>
            </w:tcBorders>
            <w:shd w:val="clear" w:color="auto" w:fill="auto"/>
            <w:noWrap/>
            <w:vAlign w:val="center"/>
            <w:hideMark/>
          </w:tcPr>
          <w:p w14:paraId="5A781A66" w14:textId="77777777" w:rsidR="0065555D" w:rsidRPr="004A1AA7" w:rsidRDefault="0065555D" w:rsidP="007049D5">
            <w:pPr>
              <w:spacing w:after="0" w:line="240" w:lineRule="auto"/>
              <w:jc w:val="left"/>
              <w:rPr>
                <w:rFonts w:eastAsia="Times New Roman" w:cs="Times New Roman"/>
                <w:sz w:val="19"/>
                <w:szCs w:val="19"/>
              </w:rPr>
            </w:pPr>
            <w:r w:rsidRPr="004A1AA7">
              <w:rPr>
                <w:rFonts w:eastAsia="Times New Roman" w:cs="Times New Roman"/>
                <w:sz w:val="19"/>
                <w:szCs w:val="19"/>
              </w:rPr>
              <w:t>D(HHI quantile=6)</w:t>
            </w:r>
            <w:r w:rsidRPr="004A1AA7">
              <w:rPr>
                <w:rFonts w:eastAsia="Times New Roman" w:cs="Times New Roman"/>
                <w:color w:val="000000"/>
                <w:sz w:val="19"/>
                <w:szCs w:val="19"/>
              </w:rPr>
              <w:t xml:space="preserve"> × D(L1 Rollover)</w:t>
            </w:r>
          </w:p>
        </w:tc>
        <w:tc>
          <w:tcPr>
            <w:tcW w:w="0" w:type="auto"/>
            <w:tcBorders>
              <w:top w:val="nil"/>
              <w:left w:val="nil"/>
              <w:bottom w:val="nil"/>
              <w:right w:val="nil"/>
            </w:tcBorders>
            <w:shd w:val="clear" w:color="auto" w:fill="auto"/>
            <w:noWrap/>
            <w:vAlign w:val="center"/>
            <w:hideMark/>
          </w:tcPr>
          <w:p w14:paraId="4C9998B7" w14:textId="77777777" w:rsidR="0065555D" w:rsidRPr="008C6292"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hideMark/>
          </w:tcPr>
          <w:p w14:paraId="3B848045" w14:textId="77777777" w:rsidR="0065555D" w:rsidRPr="008C6292" w:rsidRDefault="0065555D" w:rsidP="007049D5">
            <w:pPr>
              <w:spacing w:line="240" w:lineRule="auto"/>
              <w:jc w:val="center"/>
              <w:rPr>
                <w:rFonts w:cs="Times New Roman"/>
                <w:sz w:val="20"/>
                <w:szCs w:val="20"/>
              </w:rPr>
            </w:pPr>
          </w:p>
        </w:tc>
        <w:tc>
          <w:tcPr>
            <w:tcW w:w="0" w:type="auto"/>
            <w:tcBorders>
              <w:top w:val="nil"/>
              <w:left w:val="nil"/>
              <w:bottom w:val="nil"/>
              <w:right w:val="nil"/>
            </w:tcBorders>
            <w:shd w:val="clear" w:color="auto" w:fill="auto"/>
            <w:noWrap/>
            <w:vAlign w:val="center"/>
          </w:tcPr>
          <w:p w14:paraId="65399E19"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-0.0123</w:t>
            </w:r>
          </w:p>
        </w:tc>
        <w:tc>
          <w:tcPr>
            <w:tcW w:w="0" w:type="auto"/>
            <w:tcBorders>
              <w:top w:val="nil"/>
              <w:left w:val="nil"/>
              <w:bottom w:val="nil"/>
              <w:right w:val="nil"/>
            </w:tcBorders>
            <w:shd w:val="clear" w:color="auto" w:fill="auto"/>
            <w:noWrap/>
            <w:vAlign w:val="center"/>
          </w:tcPr>
          <w:p w14:paraId="6E730669"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(-2.1705)</w:t>
            </w:r>
          </w:p>
        </w:tc>
      </w:tr>
      <w:tr w:rsidR="0065555D" w:rsidRPr="004A1AA7" w14:paraId="0AF5FCE4" w14:textId="77777777" w:rsidTr="007049D5">
        <w:trPr>
          <w:trHeight w:val="274"/>
          <w:jc w:val="center"/>
        </w:trPr>
        <w:tc>
          <w:tcPr>
            <w:tcW w:w="0" w:type="auto"/>
            <w:tcBorders>
              <w:top w:val="nil"/>
              <w:left w:val="nil"/>
              <w:bottom w:val="nil"/>
              <w:right w:val="nil"/>
            </w:tcBorders>
            <w:shd w:val="clear" w:color="auto" w:fill="auto"/>
            <w:noWrap/>
            <w:vAlign w:val="center"/>
            <w:hideMark/>
          </w:tcPr>
          <w:p w14:paraId="55E84D63" w14:textId="77777777" w:rsidR="0065555D" w:rsidRPr="004A1AA7" w:rsidRDefault="0065555D" w:rsidP="007049D5">
            <w:pPr>
              <w:spacing w:after="0" w:line="240" w:lineRule="auto"/>
              <w:jc w:val="left"/>
              <w:rPr>
                <w:rFonts w:eastAsia="Times New Roman" w:cs="Times New Roman"/>
                <w:sz w:val="19"/>
                <w:szCs w:val="19"/>
              </w:rPr>
            </w:pPr>
            <w:r w:rsidRPr="004A1AA7">
              <w:rPr>
                <w:rFonts w:eastAsia="Times New Roman" w:cs="Times New Roman"/>
                <w:color w:val="000000"/>
                <w:sz w:val="19"/>
                <w:szCs w:val="19"/>
              </w:rPr>
              <w:t>Log(</w:t>
            </w:r>
            <w:r>
              <w:rPr>
                <w:rFonts w:eastAsia="Times New Roman" w:cs="Times New Roman"/>
                <w:color w:val="000000"/>
                <w:sz w:val="19"/>
                <w:szCs w:val="19"/>
              </w:rPr>
              <w:t xml:space="preserve">Real </w:t>
            </w:r>
            <w:r w:rsidRPr="004A1AA7">
              <w:rPr>
                <w:rFonts w:eastAsia="Times New Roman" w:cs="Times New Roman"/>
                <w:color w:val="000000"/>
                <w:sz w:val="19"/>
                <w:szCs w:val="19"/>
              </w:rPr>
              <w:t>Property Value)</w:t>
            </w:r>
          </w:p>
        </w:tc>
        <w:tc>
          <w:tcPr>
            <w:tcW w:w="0" w:type="auto"/>
            <w:tcBorders>
              <w:top w:val="nil"/>
              <w:left w:val="nil"/>
              <w:bottom w:val="nil"/>
              <w:right w:val="nil"/>
            </w:tcBorders>
            <w:shd w:val="clear" w:color="auto" w:fill="auto"/>
            <w:noWrap/>
            <w:vAlign w:val="center"/>
            <w:hideMark/>
          </w:tcPr>
          <w:p w14:paraId="4BEDAA3A"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0.0040</w:t>
            </w:r>
          </w:p>
        </w:tc>
        <w:tc>
          <w:tcPr>
            <w:tcW w:w="0" w:type="auto"/>
            <w:tcBorders>
              <w:top w:val="nil"/>
              <w:left w:val="nil"/>
              <w:bottom w:val="nil"/>
              <w:right w:val="nil"/>
            </w:tcBorders>
            <w:shd w:val="clear" w:color="auto" w:fill="auto"/>
            <w:noWrap/>
            <w:vAlign w:val="center"/>
            <w:hideMark/>
          </w:tcPr>
          <w:p w14:paraId="77A8560C"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(3.6581)</w:t>
            </w:r>
          </w:p>
        </w:tc>
        <w:tc>
          <w:tcPr>
            <w:tcW w:w="0" w:type="auto"/>
            <w:tcBorders>
              <w:top w:val="nil"/>
              <w:left w:val="nil"/>
              <w:bottom w:val="nil"/>
              <w:right w:val="nil"/>
            </w:tcBorders>
            <w:shd w:val="clear" w:color="auto" w:fill="auto"/>
            <w:noWrap/>
            <w:vAlign w:val="center"/>
          </w:tcPr>
          <w:p w14:paraId="0FFA088B"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0.0043</w:t>
            </w:r>
          </w:p>
        </w:tc>
        <w:tc>
          <w:tcPr>
            <w:tcW w:w="0" w:type="auto"/>
            <w:tcBorders>
              <w:top w:val="nil"/>
              <w:left w:val="nil"/>
              <w:bottom w:val="nil"/>
              <w:right w:val="nil"/>
            </w:tcBorders>
            <w:shd w:val="clear" w:color="auto" w:fill="auto"/>
            <w:noWrap/>
            <w:vAlign w:val="center"/>
          </w:tcPr>
          <w:p w14:paraId="06266B7B"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(3.7749)</w:t>
            </w:r>
          </w:p>
        </w:tc>
      </w:tr>
      <w:tr w:rsidR="0065555D" w:rsidRPr="004A1AA7" w14:paraId="7D78AC71" w14:textId="77777777" w:rsidTr="007049D5">
        <w:trPr>
          <w:trHeight w:val="274"/>
          <w:jc w:val="center"/>
        </w:trPr>
        <w:tc>
          <w:tcPr>
            <w:tcW w:w="0" w:type="auto"/>
            <w:tcBorders>
              <w:top w:val="nil"/>
              <w:left w:val="nil"/>
              <w:bottom w:val="nil"/>
              <w:right w:val="nil"/>
            </w:tcBorders>
            <w:shd w:val="clear" w:color="auto" w:fill="auto"/>
            <w:noWrap/>
            <w:vAlign w:val="center"/>
            <w:hideMark/>
          </w:tcPr>
          <w:p w14:paraId="19F37AF1" w14:textId="77777777" w:rsidR="0065555D" w:rsidRPr="004A1AA7" w:rsidRDefault="0065555D" w:rsidP="007049D5">
            <w:pPr>
              <w:spacing w:after="0" w:line="240" w:lineRule="auto"/>
              <w:jc w:val="left"/>
              <w:rPr>
                <w:rFonts w:eastAsia="Times New Roman" w:cs="Times New Roman"/>
                <w:color w:val="000000"/>
                <w:sz w:val="19"/>
                <w:szCs w:val="19"/>
              </w:rPr>
            </w:pPr>
            <w:r w:rsidRPr="004A1AA7">
              <w:rPr>
                <w:rFonts w:eastAsia="Times New Roman" w:cs="Times New Roman"/>
                <w:color w:val="000000"/>
                <w:sz w:val="19"/>
                <w:szCs w:val="19"/>
              </w:rPr>
              <w:t>NOI / Prop Value</w:t>
            </w:r>
          </w:p>
        </w:tc>
        <w:tc>
          <w:tcPr>
            <w:tcW w:w="0" w:type="auto"/>
            <w:tcBorders>
              <w:top w:val="nil"/>
              <w:left w:val="nil"/>
              <w:bottom w:val="nil"/>
              <w:right w:val="nil"/>
            </w:tcBorders>
            <w:shd w:val="clear" w:color="auto" w:fill="auto"/>
            <w:noWrap/>
            <w:vAlign w:val="center"/>
            <w:hideMark/>
          </w:tcPr>
          <w:p w14:paraId="2CC0274D"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4.0764</w:t>
            </w:r>
          </w:p>
        </w:tc>
        <w:tc>
          <w:tcPr>
            <w:tcW w:w="0" w:type="auto"/>
            <w:tcBorders>
              <w:top w:val="nil"/>
              <w:left w:val="nil"/>
              <w:bottom w:val="nil"/>
              <w:right w:val="nil"/>
            </w:tcBorders>
            <w:shd w:val="clear" w:color="auto" w:fill="auto"/>
            <w:noWrap/>
            <w:vAlign w:val="center"/>
            <w:hideMark/>
          </w:tcPr>
          <w:p w14:paraId="62B06DD7"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(24.1552)</w:t>
            </w:r>
          </w:p>
        </w:tc>
        <w:tc>
          <w:tcPr>
            <w:tcW w:w="0" w:type="auto"/>
            <w:tcBorders>
              <w:top w:val="nil"/>
              <w:left w:val="nil"/>
              <w:bottom w:val="nil"/>
              <w:right w:val="nil"/>
            </w:tcBorders>
            <w:shd w:val="clear" w:color="auto" w:fill="auto"/>
            <w:noWrap/>
            <w:vAlign w:val="center"/>
          </w:tcPr>
          <w:p w14:paraId="2572CC24"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4.2331</w:t>
            </w:r>
          </w:p>
        </w:tc>
        <w:tc>
          <w:tcPr>
            <w:tcW w:w="0" w:type="auto"/>
            <w:tcBorders>
              <w:top w:val="nil"/>
              <w:left w:val="nil"/>
              <w:bottom w:val="nil"/>
              <w:right w:val="nil"/>
            </w:tcBorders>
            <w:shd w:val="clear" w:color="auto" w:fill="auto"/>
            <w:noWrap/>
            <w:vAlign w:val="center"/>
          </w:tcPr>
          <w:p w14:paraId="400E3E4B"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(23.2171)</w:t>
            </w:r>
          </w:p>
        </w:tc>
      </w:tr>
      <w:tr w:rsidR="0065555D" w:rsidRPr="004A1AA7" w14:paraId="26E8F66E" w14:textId="77777777" w:rsidTr="007049D5">
        <w:trPr>
          <w:trHeight w:val="274"/>
          <w:jc w:val="center"/>
        </w:trPr>
        <w:tc>
          <w:tcPr>
            <w:tcW w:w="0" w:type="auto"/>
            <w:tcBorders>
              <w:top w:val="nil"/>
              <w:left w:val="nil"/>
              <w:bottom w:val="nil"/>
              <w:right w:val="nil"/>
            </w:tcBorders>
            <w:shd w:val="clear" w:color="auto" w:fill="auto"/>
            <w:noWrap/>
            <w:vAlign w:val="center"/>
            <w:hideMark/>
          </w:tcPr>
          <w:p w14:paraId="197C6C28" w14:textId="77777777" w:rsidR="0065555D" w:rsidRPr="004A1AA7" w:rsidRDefault="0065555D" w:rsidP="007049D5">
            <w:pPr>
              <w:spacing w:after="0" w:line="240" w:lineRule="auto"/>
              <w:jc w:val="left"/>
              <w:rPr>
                <w:rFonts w:eastAsia="Times New Roman" w:cs="Times New Roman"/>
                <w:color w:val="000000"/>
                <w:sz w:val="19"/>
                <w:szCs w:val="19"/>
              </w:rPr>
            </w:pPr>
            <w:r w:rsidRPr="004A1AA7">
              <w:rPr>
                <w:rFonts w:eastAsia="Times New Roman" w:cs="Times New Roman"/>
                <w:color w:val="000000"/>
                <w:sz w:val="19"/>
                <w:szCs w:val="19"/>
              </w:rPr>
              <w:t>Amortization Rate</w:t>
            </w:r>
          </w:p>
        </w:tc>
        <w:tc>
          <w:tcPr>
            <w:tcW w:w="0" w:type="auto"/>
            <w:tcBorders>
              <w:top w:val="nil"/>
              <w:left w:val="nil"/>
              <w:bottom w:val="nil"/>
              <w:right w:val="nil"/>
            </w:tcBorders>
            <w:shd w:val="clear" w:color="auto" w:fill="auto"/>
            <w:noWrap/>
            <w:vAlign w:val="center"/>
            <w:hideMark/>
          </w:tcPr>
          <w:p w14:paraId="554DECCF"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-0.2139</w:t>
            </w:r>
          </w:p>
        </w:tc>
        <w:tc>
          <w:tcPr>
            <w:tcW w:w="0" w:type="auto"/>
            <w:tcBorders>
              <w:top w:val="nil"/>
              <w:left w:val="nil"/>
              <w:bottom w:val="nil"/>
              <w:right w:val="nil"/>
            </w:tcBorders>
            <w:shd w:val="clear" w:color="auto" w:fill="auto"/>
            <w:noWrap/>
            <w:vAlign w:val="center"/>
            <w:hideMark/>
          </w:tcPr>
          <w:p w14:paraId="29829678"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(-23.3909)</w:t>
            </w:r>
          </w:p>
        </w:tc>
        <w:tc>
          <w:tcPr>
            <w:tcW w:w="0" w:type="auto"/>
            <w:tcBorders>
              <w:top w:val="nil"/>
              <w:left w:val="nil"/>
              <w:bottom w:val="nil"/>
              <w:right w:val="nil"/>
            </w:tcBorders>
            <w:shd w:val="clear" w:color="auto" w:fill="auto"/>
            <w:noWrap/>
            <w:vAlign w:val="center"/>
          </w:tcPr>
          <w:p w14:paraId="11D34832"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-0.2065</w:t>
            </w:r>
          </w:p>
        </w:tc>
        <w:tc>
          <w:tcPr>
            <w:tcW w:w="0" w:type="auto"/>
            <w:tcBorders>
              <w:top w:val="nil"/>
              <w:left w:val="nil"/>
              <w:bottom w:val="nil"/>
              <w:right w:val="nil"/>
            </w:tcBorders>
            <w:shd w:val="clear" w:color="auto" w:fill="auto"/>
            <w:noWrap/>
            <w:vAlign w:val="center"/>
          </w:tcPr>
          <w:p w14:paraId="71856E64"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(-21.8597)</w:t>
            </w:r>
          </w:p>
        </w:tc>
      </w:tr>
      <w:tr w:rsidR="0065555D" w:rsidRPr="004A1AA7" w14:paraId="66E68277" w14:textId="77777777" w:rsidTr="007049D5">
        <w:trPr>
          <w:trHeight w:val="274"/>
          <w:jc w:val="center"/>
        </w:trPr>
        <w:tc>
          <w:tcPr>
            <w:tcW w:w="0" w:type="auto"/>
            <w:tcBorders>
              <w:top w:val="nil"/>
              <w:left w:val="nil"/>
              <w:bottom w:val="nil"/>
              <w:right w:val="nil"/>
            </w:tcBorders>
            <w:shd w:val="clear" w:color="auto" w:fill="auto"/>
            <w:noWrap/>
            <w:vAlign w:val="center"/>
            <w:hideMark/>
          </w:tcPr>
          <w:p w14:paraId="5242966D" w14:textId="77777777" w:rsidR="0065555D" w:rsidRPr="004A1AA7" w:rsidRDefault="0065555D" w:rsidP="007049D5">
            <w:pPr>
              <w:spacing w:after="0" w:line="240" w:lineRule="auto"/>
              <w:jc w:val="left"/>
              <w:rPr>
                <w:rFonts w:eastAsia="Times New Roman" w:cs="Times New Roman"/>
                <w:color w:val="000000"/>
                <w:sz w:val="19"/>
                <w:szCs w:val="19"/>
              </w:rPr>
            </w:pPr>
            <w:r w:rsidRPr="004A1AA7">
              <w:rPr>
                <w:rFonts w:eastAsia="Times New Roman" w:cs="Times New Roman"/>
                <w:color w:val="000000"/>
                <w:sz w:val="19"/>
                <w:szCs w:val="19"/>
              </w:rPr>
              <w:t>Occupancy Rate</w:t>
            </w:r>
          </w:p>
        </w:tc>
        <w:tc>
          <w:tcPr>
            <w:tcW w:w="0" w:type="auto"/>
            <w:tcBorders>
              <w:top w:val="nil"/>
              <w:left w:val="nil"/>
              <w:bottom w:val="nil"/>
              <w:right w:val="nil"/>
            </w:tcBorders>
            <w:shd w:val="clear" w:color="auto" w:fill="auto"/>
            <w:noWrap/>
            <w:vAlign w:val="center"/>
            <w:hideMark/>
          </w:tcPr>
          <w:p w14:paraId="5F91C3D7"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0.0002</w:t>
            </w:r>
          </w:p>
        </w:tc>
        <w:tc>
          <w:tcPr>
            <w:tcW w:w="0" w:type="auto"/>
            <w:tcBorders>
              <w:top w:val="nil"/>
              <w:left w:val="nil"/>
              <w:bottom w:val="nil"/>
              <w:right w:val="nil"/>
            </w:tcBorders>
            <w:shd w:val="clear" w:color="auto" w:fill="auto"/>
            <w:noWrap/>
            <w:vAlign w:val="center"/>
            <w:hideMark/>
          </w:tcPr>
          <w:p w14:paraId="7612ECB0"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(1.6298)</w:t>
            </w:r>
          </w:p>
        </w:tc>
        <w:tc>
          <w:tcPr>
            <w:tcW w:w="0" w:type="auto"/>
            <w:tcBorders>
              <w:top w:val="nil"/>
              <w:left w:val="nil"/>
              <w:bottom w:val="nil"/>
              <w:right w:val="nil"/>
            </w:tcBorders>
            <w:shd w:val="clear" w:color="auto" w:fill="auto"/>
            <w:noWrap/>
            <w:vAlign w:val="center"/>
          </w:tcPr>
          <w:p w14:paraId="4F0F171E"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0.0001</w:t>
            </w:r>
          </w:p>
        </w:tc>
        <w:tc>
          <w:tcPr>
            <w:tcW w:w="0" w:type="auto"/>
            <w:tcBorders>
              <w:top w:val="nil"/>
              <w:left w:val="nil"/>
              <w:bottom w:val="nil"/>
              <w:right w:val="nil"/>
            </w:tcBorders>
            <w:shd w:val="clear" w:color="auto" w:fill="auto"/>
            <w:noWrap/>
            <w:vAlign w:val="center"/>
          </w:tcPr>
          <w:p w14:paraId="10F6CB6B"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(0.8667)</w:t>
            </w:r>
          </w:p>
        </w:tc>
      </w:tr>
      <w:tr w:rsidR="0065555D" w:rsidRPr="004A1AA7" w14:paraId="18C6FC60" w14:textId="77777777" w:rsidTr="007049D5">
        <w:trPr>
          <w:trHeight w:val="274"/>
          <w:jc w:val="center"/>
        </w:trPr>
        <w:tc>
          <w:tcPr>
            <w:tcW w:w="0" w:type="auto"/>
            <w:tcBorders>
              <w:top w:val="nil"/>
              <w:left w:val="nil"/>
              <w:bottom w:val="nil"/>
              <w:right w:val="nil"/>
            </w:tcBorders>
            <w:shd w:val="clear" w:color="auto" w:fill="auto"/>
            <w:noWrap/>
            <w:vAlign w:val="center"/>
            <w:hideMark/>
          </w:tcPr>
          <w:p w14:paraId="3427EAB8" w14:textId="77777777" w:rsidR="0065555D" w:rsidRPr="004A1AA7" w:rsidRDefault="0065555D" w:rsidP="007049D5">
            <w:pPr>
              <w:spacing w:after="0" w:line="240" w:lineRule="auto"/>
              <w:jc w:val="left"/>
              <w:rPr>
                <w:rFonts w:eastAsia="Times New Roman" w:cs="Times New Roman"/>
                <w:color w:val="000000"/>
                <w:sz w:val="19"/>
                <w:szCs w:val="19"/>
              </w:rPr>
            </w:pPr>
            <w:r w:rsidRPr="004A1AA7">
              <w:rPr>
                <w:rFonts w:eastAsia="Times New Roman" w:cs="Times New Roman"/>
                <w:color w:val="000000"/>
                <w:sz w:val="19"/>
                <w:szCs w:val="19"/>
              </w:rPr>
              <w:t>Log(Property Age)</w:t>
            </w:r>
          </w:p>
        </w:tc>
        <w:tc>
          <w:tcPr>
            <w:tcW w:w="0" w:type="auto"/>
            <w:tcBorders>
              <w:top w:val="nil"/>
              <w:left w:val="nil"/>
              <w:bottom w:val="nil"/>
              <w:right w:val="nil"/>
            </w:tcBorders>
            <w:shd w:val="clear" w:color="auto" w:fill="auto"/>
            <w:noWrap/>
            <w:vAlign w:val="center"/>
            <w:hideMark/>
          </w:tcPr>
          <w:p w14:paraId="7A64665D"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-0.0108</w:t>
            </w:r>
          </w:p>
        </w:tc>
        <w:tc>
          <w:tcPr>
            <w:tcW w:w="0" w:type="auto"/>
            <w:tcBorders>
              <w:top w:val="nil"/>
              <w:left w:val="nil"/>
              <w:bottom w:val="nil"/>
              <w:right w:val="nil"/>
            </w:tcBorders>
            <w:shd w:val="clear" w:color="auto" w:fill="auto"/>
            <w:noWrap/>
            <w:vAlign w:val="center"/>
            <w:hideMark/>
          </w:tcPr>
          <w:p w14:paraId="78B7EF99"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(-13.3475)</w:t>
            </w:r>
          </w:p>
        </w:tc>
        <w:tc>
          <w:tcPr>
            <w:tcW w:w="0" w:type="auto"/>
            <w:tcBorders>
              <w:top w:val="nil"/>
              <w:left w:val="nil"/>
              <w:bottom w:val="nil"/>
              <w:right w:val="nil"/>
            </w:tcBorders>
            <w:shd w:val="clear" w:color="auto" w:fill="auto"/>
            <w:noWrap/>
            <w:vAlign w:val="center"/>
          </w:tcPr>
          <w:p w14:paraId="436FBD7D"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-0.0107</w:t>
            </w:r>
          </w:p>
        </w:tc>
        <w:tc>
          <w:tcPr>
            <w:tcW w:w="0" w:type="auto"/>
            <w:tcBorders>
              <w:top w:val="nil"/>
              <w:left w:val="nil"/>
              <w:bottom w:val="nil"/>
              <w:right w:val="nil"/>
            </w:tcBorders>
            <w:shd w:val="clear" w:color="auto" w:fill="auto"/>
            <w:noWrap/>
            <w:vAlign w:val="center"/>
          </w:tcPr>
          <w:p w14:paraId="30C53675"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(-12.8906)</w:t>
            </w:r>
          </w:p>
        </w:tc>
      </w:tr>
      <w:tr w:rsidR="0065555D" w:rsidRPr="004A1AA7" w14:paraId="19F5C8A8" w14:textId="77777777" w:rsidTr="007049D5">
        <w:trPr>
          <w:trHeight w:val="274"/>
          <w:jc w:val="center"/>
        </w:trPr>
        <w:tc>
          <w:tcPr>
            <w:tcW w:w="0" w:type="auto"/>
            <w:tcBorders>
              <w:top w:val="nil"/>
              <w:left w:val="nil"/>
              <w:bottom w:val="nil"/>
              <w:right w:val="nil"/>
            </w:tcBorders>
            <w:shd w:val="clear" w:color="auto" w:fill="auto"/>
            <w:noWrap/>
            <w:vAlign w:val="center"/>
            <w:hideMark/>
          </w:tcPr>
          <w:p w14:paraId="24CCA87F" w14:textId="77777777" w:rsidR="0065555D" w:rsidRPr="004A1AA7" w:rsidRDefault="0065555D" w:rsidP="007049D5">
            <w:pPr>
              <w:spacing w:after="0" w:line="240" w:lineRule="auto"/>
              <w:jc w:val="left"/>
              <w:rPr>
                <w:rFonts w:eastAsia="Times New Roman" w:cs="Times New Roman"/>
                <w:color w:val="000000"/>
                <w:sz w:val="19"/>
                <w:szCs w:val="19"/>
              </w:rPr>
            </w:pPr>
            <w:r w:rsidRPr="004A1AA7">
              <w:rPr>
                <w:rFonts w:eastAsia="Times New Roman" w:cs="Times New Roman"/>
                <w:color w:val="000000"/>
                <w:sz w:val="19"/>
                <w:szCs w:val="19"/>
              </w:rPr>
              <w:t>Years to Maturity</w:t>
            </w:r>
          </w:p>
        </w:tc>
        <w:tc>
          <w:tcPr>
            <w:tcW w:w="0" w:type="auto"/>
            <w:tcBorders>
              <w:top w:val="nil"/>
              <w:left w:val="nil"/>
              <w:bottom w:val="nil"/>
              <w:right w:val="nil"/>
            </w:tcBorders>
            <w:shd w:val="clear" w:color="auto" w:fill="auto"/>
            <w:noWrap/>
            <w:vAlign w:val="center"/>
            <w:hideMark/>
          </w:tcPr>
          <w:p w14:paraId="5A68DDC3"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0.0126</w:t>
            </w:r>
          </w:p>
        </w:tc>
        <w:tc>
          <w:tcPr>
            <w:tcW w:w="0" w:type="auto"/>
            <w:tcBorders>
              <w:top w:val="nil"/>
              <w:left w:val="nil"/>
              <w:bottom w:val="nil"/>
              <w:right w:val="nil"/>
            </w:tcBorders>
            <w:shd w:val="clear" w:color="auto" w:fill="auto"/>
            <w:noWrap/>
            <w:vAlign w:val="center"/>
            <w:hideMark/>
          </w:tcPr>
          <w:p w14:paraId="04106294"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(18.8938)</w:t>
            </w:r>
          </w:p>
        </w:tc>
        <w:tc>
          <w:tcPr>
            <w:tcW w:w="0" w:type="auto"/>
            <w:tcBorders>
              <w:top w:val="nil"/>
              <w:left w:val="nil"/>
              <w:bottom w:val="nil"/>
              <w:right w:val="nil"/>
            </w:tcBorders>
            <w:shd w:val="clear" w:color="auto" w:fill="auto"/>
            <w:noWrap/>
            <w:vAlign w:val="center"/>
          </w:tcPr>
          <w:p w14:paraId="03A267FD"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0.0121</w:t>
            </w:r>
          </w:p>
        </w:tc>
        <w:tc>
          <w:tcPr>
            <w:tcW w:w="0" w:type="auto"/>
            <w:tcBorders>
              <w:top w:val="nil"/>
              <w:left w:val="nil"/>
              <w:bottom w:val="nil"/>
              <w:right w:val="nil"/>
            </w:tcBorders>
            <w:shd w:val="clear" w:color="auto" w:fill="auto"/>
            <w:noWrap/>
            <w:vAlign w:val="center"/>
          </w:tcPr>
          <w:p w14:paraId="087C0C70" w14:textId="77777777" w:rsidR="0065555D" w:rsidRPr="008C6292" w:rsidRDefault="0065555D" w:rsidP="007049D5">
            <w:pPr>
              <w:spacing w:line="240" w:lineRule="auto"/>
              <w:jc w:val="center"/>
              <w:rPr>
                <w:rFonts w:cs="Times New Roman"/>
                <w:sz w:val="20"/>
                <w:szCs w:val="20"/>
              </w:rPr>
            </w:pPr>
            <w:r w:rsidRPr="008C6292">
              <w:rPr>
                <w:rFonts w:cs="Times New Roman"/>
                <w:sz w:val="20"/>
                <w:szCs w:val="20"/>
              </w:rPr>
              <w:t>(17.6085)</w:t>
            </w:r>
          </w:p>
        </w:tc>
      </w:tr>
      <w:tr w:rsidR="0065555D" w:rsidRPr="004A1AA7" w14:paraId="3481E460"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051F8FB4" w14:textId="77777777" w:rsidR="0065555D" w:rsidRPr="004A1AA7" w:rsidRDefault="0065555D" w:rsidP="007049D5">
            <w:pPr>
              <w:spacing w:after="0" w:line="240" w:lineRule="auto"/>
              <w:jc w:val="left"/>
              <w:rPr>
                <w:rFonts w:eastAsia="Times New Roman" w:cs="Times New Roman"/>
                <w:sz w:val="19"/>
                <w:szCs w:val="19"/>
              </w:rPr>
            </w:pPr>
          </w:p>
        </w:tc>
        <w:tc>
          <w:tcPr>
            <w:tcW w:w="0" w:type="auto"/>
            <w:tcBorders>
              <w:top w:val="nil"/>
              <w:left w:val="nil"/>
              <w:bottom w:val="nil"/>
              <w:right w:val="nil"/>
            </w:tcBorders>
            <w:shd w:val="clear" w:color="auto" w:fill="auto"/>
            <w:noWrap/>
            <w:vAlign w:val="center"/>
            <w:hideMark/>
          </w:tcPr>
          <w:p w14:paraId="26D8A87C" w14:textId="77777777" w:rsidR="0065555D" w:rsidRPr="004A1AA7" w:rsidRDefault="0065555D" w:rsidP="007049D5">
            <w:pPr>
              <w:spacing w:after="0" w:line="240" w:lineRule="auto"/>
              <w:jc w:val="center"/>
              <w:rPr>
                <w:rFonts w:eastAsia="Times New Roman" w:cs="Times New Roman"/>
                <w:sz w:val="19"/>
                <w:szCs w:val="19"/>
              </w:rPr>
            </w:pPr>
          </w:p>
        </w:tc>
        <w:tc>
          <w:tcPr>
            <w:tcW w:w="0" w:type="auto"/>
            <w:tcBorders>
              <w:top w:val="nil"/>
              <w:left w:val="nil"/>
              <w:bottom w:val="nil"/>
              <w:right w:val="nil"/>
            </w:tcBorders>
            <w:shd w:val="clear" w:color="auto" w:fill="auto"/>
            <w:noWrap/>
            <w:vAlign w:val="center"/>
            <w:hideMark/>
          </w:tcPr>
          <w:p w14:paraId="60C46A72" w14:textId="77777777" w:rsidR="0065555D" w:rsidRPr="004A1AA7" w:rsidRDefault="0065555D" w:rsidP="007049D5">
            <w:pPr>
              <w:spacing w:after="0" w:line="240" w:lineRule="auto"/>
              <w:jc w:val="center"/>
              <w:rPr>
                <w:rFonts w:eastAsia="Times New Roman" w:cs="Times New Roman"/>
                <w:sz w:val="19"/>
                <w:szCs w:val="19"/>
              </w:rPr>
            </w:pPr>
          </w:p>
        </w:tc>
        <w:tc>
          <w:tcPr>
            <w:tcW w:w="0" w:type="auto"/>
            <w:tcBorders>
              <w:top w:val="nil"/>
              <w:left w:val="nil"/>
              <w:bottom w:val="nil"/>
              <w:right w:val="nil"/>
            </w:tcBorders>
            <w:shd w:val="clear" w:color="auto" w:fill="auto"/>
            <w:noWrap/>
            <w:vAlign w:val="center"/>
            <w:hideMark/>
          </w:tcPr>
          <w:p w14:paraId="6A34899A" w14:textId="77777777" w:rsidR="0065555D" w:rsidRPr="004A1AA7" w:rsidRDefault="0065555D" w:rsidP="007049D5">
            <w:pPr>
              <w:spacing w:after="0" w:line="240" w:lineRule="auto"/>
              <w:jc w:val="center"/>
              <w:rPr>
                <w:rFonts w:eastAsia="Times New Roman" w:cs="Times New Roman"/>
                <w:sz w:val="19"/>
                <w:szCs w:val="19"/>
              </w:rPr>
            </w:pPr>
          </w:p>
        </w:tc>
        <w:tc>
          <w:tcPr>
            <w:tcW w:w="0" w:type="auto"/>
            <w:tcBorders>
              <w:top w:val="nil"/>
              <w:left w:val="nil"/>
              <w:bottom w:val="nil"/>
              <w:right w:val="nil"/>
            </w:tcBorders>
            <w:shd w:val="clear" w:color="auto" w:fill="auto"/>
            <w:noWrap/>
            <w:vAlign w:val="center"/>
            <w:hideMark/>
          </w:tcPr>
          <w:p w14:paraId="7C8FD240" w14:textId="77777777" w:rsidR="0065555D" w:rsidRPr="004A1AA7" w:rsidRDefault="0065555D" w:rsidP="007049D5">
            <w:pPr>
              <w:spacing w:after="0" w:line="240" w:lineRule="auto"/>
              <w:jc w:val="center"/>
              <w:rPr>
                <w:rFonts w:eastAsia="Times New Roman" w:cs="Times New Roman"/>
                <w:sz w:val="19"/>
                <w:szCs w:val="19"/>
              </w:rPr>
            </w:pPr>
          </w:p>
        </w:tc>
      </w:tr>
      <w:tr w:rsidR="0065555D" w:rsidRPr="004A1AA7" w14:paraId="11B239F1"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76230BEA" w14:textId="77777777" w:rsidR="0065555D" w:rsidRPr="004A1AA7" w:rsidRDefault="0065555D" w:rsidP="007049D5">
            <w:pPr>
              <w:spacing w:after="0" w:line="240" w:lineRule="auto"/>
              <w:jc w:val="left"/>
              <w:rPr>
                <w:rFonts w:eastAsia="Times New Roman" w:cs="Times New Roman"/>
                <w:sz w:val="19"/>
                <w:szCs w:val="19"/>
              </w:rPr>
            </w:pPr>
            <w:r w:rsidRPr="004A1AA7">
              <w:rPr>
                <w:rFonts w:eastAsia="Times New Roman" w:cs="Times New Roman"/>
                <w:sz w:val="19"/>
                <w:szCs w:val="19"/>
              </w:rPr>
              <w:t>Month FE</w:t>
            </w:r>
          </w:p>
        </w:tc>
        <w:tc>
          <w:tcPr>
            <w:tcW w:w="0" w:type="auto"/>
            <w:gridSpan w:val="2"/>
            <w:tcBorders>
              <w:top w:val="nil"/>
              <w:left w:val="nil"/>
              <w:bottom w:val="nil"/>
              <w:right w:val="nil"/>
            </w:tcBorders>
            <w:shd w:val="clear" w:color="auto" w:fill="auto"/>
            <w:noWrap/>
            <w:vAlign w:val="center"/>
            <w:hideMark/>
          </w:tcPr>
          <w:p w14:paraId="398D166E" w14:textId="77777777" w:rsidR="0065555D" w:rsidRPr="004A1AA7" w:rsidRDefault="0065555D" w:rsidP="007049D5">
            <w:pPr>
              <w:spacing w:after="0" w:line="240" w:lineRule="auto"/>
              <w:jc w:val="center"/>
              <w:rPr>
                <w:rFonts w:eastAsia="Times New Roman" w:cs="Times New Roman"/>
                <w:sz w:val="19"/>
                <w:szCs w:val="19"/>
              </w:rPr>
            </w:pPr>
            <w:r w:rsidRPr="004A1AA7">
              <w:rPr>
                <w:rFonts w:eastAsia="Times New Roman" w:cs="Times New Roman"/>
                <w:sz w:val="19"/>
                <w:szCs w:val="19"/>
              </w:rPr>
              <w:t>Yes</w:t>
            </w:r>
          </w:p>
        </w:tc>
        <w:tc>
          <w:tcPr>
            <w:tcW w:w="0" w:type="auto"/>
            <w:gridSpan w:val="2"/>
            <w:tcBorders>
              <w:top w:val="nil"/>
              <w:left w:val="nil"/>
              <w:bottom w:val="nil"/>
              <w:right w:val="nil"/>
            </w:tcBorders>
            <w:shd w:val="clear" w:color="auto" w:fill="auto"/>
            <w:noWrap/>
            <w:vAlign w:val="center"/>
            <w:hideMark/>
          </w:tcPr>
          <w:p w14:paraId="74A24EB4" w14:textId="77777777" w:rsidR="0065555D" w:rsidRPr="004A1AA7" w:rsidRDefault="0065555D" w:rsidP="007049D5">
            <w:pPr>
              <w:spacing w:after="0" w:line="240" w:lineRule="auto"/>
              <w:jc w:val="center"/>
              <w:rPr>
                <w:rFonts w:eastAsia="Times New Roman" w:cs="Times New Roman"/>
                <w:sz w:val="19"/>
                <w:szCs w:val="19"/>
              </w:rPr>
            </w:pPr>
            <w:r w:rsidRPr="004A1AA7">
              <w:rPr>
                <w:rFonts w:eastAsia="Times New Roman" w:cs="Times New Roman"/>
                <w:sz w:val="19"/>
                <w:szCs w:val="19"/>
              </w:rPr>
              <w:t>Yes</w:t>
            </w:r>
          </w:p>
        </w:tc>
      </w:tr>
      <w:tr w:rsidR="0065555D" w:rsidRPr="004A1AA7" w14:paraId="5AF8B04C"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7D65916A" w14:textId="77777777" w:rsidR="0065555D" w:rsidRPr="004A1AA7" w:rsidRDefault="0065555D" w:rsidP="007049D5">
            <w:pPr>
              <w:spacing w:after="0" w:line="240" w:lineRule="auto"/>
              <w:jc w:val="left"/>
              <w:rPr>
                <w:rFonts w:eastAsia="Times New Roman" w:cs="Times New Roman"/>
                <w:sz w:val="19"/>
                <w:szCs w:val="19"/>
              </w:rPr>
            </w:pPr>
            <w:r w:rsidRPr="004A1AA7">
              <w:rPr>
                <w:rFonts w:eastAsia="Times New Roman" w:cs="Times New Roman"/>
                <w:sz w:val="19"/>
                <w:szCs w:val="19"/>
              </w:rPr>
              <w:t>Observations</w:t>
            </w:r>
          </w:p>
        </w:tc>
        <w:tc>
          <w:tcPr>
            <w:tcW w:w="0" w:type="auto"/>
            <w:gridSpan w:val="2"/>
            <w:tcBorders>
              <w:top w:val="nil"/>
              <w:left w:val="nil"/>
              <w:bottom w:val="nil"/>
              <w:right w:val="nil"/>
            </w:tcBorders>
            <w:shd w:val="clear" w:color="auto" w:fill="auto"/>
            <w:noWrap/>
            <w:vAlign w:val="center"/>
            <w:hideMark/>
          </w:tcPr>
          <w:p w14:paraId="3C88788F" w14:textId="77777777" w:rsidR="0065555D" w:rsidRPr="004A1AA7" w:rsidRDefault="0065555D" w:rsidP="007049D5">
            <w:pPr>
              <w:spacing w:after="0" w:line="240" w:lineRule="auto"/>
              <w:jc w:val="center"/>
              <w:rPr>
                <w:rFonts w:eastAsia="Times New Roman" w:cs="Times New Roman"/>
                <w:sz w:val="19"/>
                <w:szCs w:val="19"/>
              </w:rPr>
            </w:pPr>
            <w:r w:rsidRPr="004A1AA7">
              <w:rPr>
                <w:rFonts w:eastAsia="Times New Roman" w:cs="Times New Roman"/>
                <w:sz w:val="19"/>
                <w:szCs w:val="19"/>
              </w:rPr>
              <w:t>18,739</w:t>
            </w:r>
          </w:p>
        </w:tc>
        <w:tc>
          <w:tcPr>
            <w:tcW w:w="0" w:type="auto"/>
            <w:gridSpan w:val="2"/>
            <w:tcBorders>
              <w:top w:val="nil"/>
              <w:left w:val="nil"/>
              <w:bottom w:val="nil"/>
              <w:right w:val="nil"/>
            </w:tcBorders>
            <w:shd w:val="clear" w:color="auto" w:fill="auto"/>
            <w:noWrap/>
            <w:vAlign w:val="center"/>
          </w:tcPr>
          <w:p w14:paraId="5A85D2E6" w14:textId="77777777" w:rsidR="0065555D" w:rsidRPr="004A1AA7" w:rsidRDefault="0065555D" w:rsidP="007049D5">
            <w:pPr>
              <w:spacing w:after="0" w:line="240" w:lineRule="auto"/>
              <w:jc w:val="center"/>
              <w:rPr>
                <w:rFonts w:eastAsia="Times New Roman" w:cs="Times New Roman"/>
                <w:sz w:val="19"/>
                <w:szCs w:val="19"/>
              </w:rPr>
            </w:pPr>
            <w:r w:rsidRPr="004A1AA7">
              <w:rPr>
                <w:rFonts w:eastAsia="Times New Roman" w:cs="Times New Roman"/>
                <w:sz w:val="19"/>
                <w:szCs w:val="19"/>
              </w:rPr>
              <w:t>17,324</w:t>
            </w:r>
          </w:p>
        </w:tc>
      </w:tr>
      <w:tr w:rsidR="0065555D" w:rsidRPr="004A1AA7" w14:paraId="3C3B871B" w14:textId="77777777" w:rsidTr="007049D5">
        <w:trPr>
          <w:trHeight w:val="264"/>
          <w:jc w:val="center"/>
        </w:trPr>
        <w:tc>
          <w:tcPr>
            <w:tcW w:w="0" w:type="auto"/>
            <w:tcBorders>
              <w:top w:val="nil"/>
              <w:left w:val="nil"/>
              <w:bottom w:val="single" w:sz="4" w:space="0" w:color="auto"/>
              <w:right w:val="nil"/>
            </w:tcBorders>
            <w:shd w:val="clear" w:color="auto" w:fill="auto"/>
            <w:noWrap/>
            <w:vAlign w:val="center"/>
            <w:hideMark/>
          </w:tcPr>
          <w:p w14:paraId="11903F49" w14:textId="77777777" w:rsidR="0065555D" w:rsidRPr="004A1AA7" w:rsidRDefault="0065555D" w:rsidP="007049D5">
            <w:pPr>
              <w:spacing w:after="0" w:line="240" w:lineRule="auto"/>
              <w:jc w:val="left"/>
              <w:rPr>
                <w:rFonts w:eastAsia="Times New Roman" w:cs="Times New Roman"/>
                <w:sz w:val="19"/>
                <w:szCs w:val="19"/>
              </w:rPr>
            </w:pPr>
            <w:r w:rsidRPr="004A1AA7">
              <w:rPr>
                <w:rFonts w:eastAsia="Times New Roman" w:cs="Times New Roman"/>
                <w:sz w:val="19"/>
                <w:szCs w:val="19"/>
              </w:rPr>
              <w:t>R-squared</w:t>
            </w:r>
          </w:p>
        </w:tc>
        <w:tc>
          <w:tcPr>
            <w:tcW w:w="0" w:type="auto"/>
            <w:gridSpan w:val="2"/>
            <w:tcBorders>
              <w:top w:val="nil"/>
              <w:left w:val="nil"/>
              <w:bottom w:val="single" w:sz="4" w:space="0" w:color="auto"/>
              <w:right w:val="nil"/>
            </w:tcBorders>
            <w:shd w:val="clear" w:color="auto" w:fill="auto"/>
            <w:noWrap/>
            <w:vAlign w:val="center"/>
            <w:hideMark/>
          </w:tcPr>
          <w:p w14:paraId="65D887AB" w14:textId="77777777" w:rsidR="0065555D" w:rsidRPr="004A1AA7" w:rsidRDefault="0065555D" w:rsidP="007049D5">
            <w:pPr>
              <w:spacing w:after="0" w:line="240" w:lineRule="auto"/>
              <w:jc w:val="center"/>
              <w:rPr>
                <w:rFonts w:eastAsia="Times New Roman" w:cs="Times New Roman"/>
                <w:sz w:val="19"/>
                <w:szCs w:val="19"/>
              </w:rPr>
            </w:pPr>
            <w:r w:rsidRPr="004A1AA7">
              <w:rPr>
                <w:rFonts w:eastAsia="Times New Roman" w:cs="Times New Roman"/>
                <w:sz w:val="19"/>
                <w:szCs w:val="19"/>
              </w:rPr>
              <w:t>0.2586</w:t>
            </w:r>
          </w:p>
        </w:tc>
        <w:tc>
          <w:tcPr>
            <w:tcW w:w="0" w:type="auto"/>
            <w:gridSpan w:val="2"/>
            <w:tcBorders>
              <w:top w:val="nil"/>
              <w:left w:val="nil"/>
              <w:bottom w:val="single" w:sz="4" w:space="0" w:color="auto"/>
              <w:right w:val="nil"/>
            </w:tcBorders>
            <w:shd w:val="clear" w:color="auto" w:fill="auto"/>
            <w:noWrap/>
            <w:vAlign w:val="center"/>
          </w:tcPr>
          <w:p w14:paraId="3ED99525" w14:textId="77777777" w:rsidR="0065555D" w:rsidRPr="004A1AA7" w:rsidRDefault="0065555D" w:rsidP="007049D5">
            <w:pPr>
              <w:spacing w:after="0" w:line="240" w:lineRule="auto"/>
              <w:jc w:val="center"/>
              <w:rPr>
                <w:rFonts w:eastAsia="Times New Roman" w:cs="Times New Roman"/>
                <w:sz w:val="19"/>
                <w:szCs w:val="19"/>
              </w:rPr>
            </w:pPr>
            <w:r w:rsidRPr="004A1AA7">
              <w:rPr>
                <w:rFonts w:eastAsia="Times New Roman" w:cs="Times New Roman"/>
                <w:sz w:val="19"/>
                <w:szCs w:val="19"/>
              </w:rPr>
              <w:t>0.2580</w:t>
            </w:r>
          </w:p>
        </w:tc>
      </w:tr>
    </w:tbl>
    <w:p w14:paraId="52BAE868" w14:textId="77777777" w:rsidR="0065555D" w:rsidRDefault="0065555D">
      <w:pPr>
        <w:spacing w:line="276" w:lineRule="auto"/>
        <w:contextualSpacing w:val="0"/>
        <w:jc w:val="left"/>
        <w:rPr>
          <w:bCs/>
          <w:szCs w:val="18"/>
        </w:rPr>
      </w:pPr>
      <w:r>
        <w:br w:type="page"/>
      </w:r>
    </w:p>
    <w:p w14:paraId="6772B033" w14:textId="77777777" w:rsidR="0065555D" w:rsidRDefault="0065555D" w:rsidP="00FB3903">
      <w:pPr>
        <w:pStyle w:val="Caption"/>
        <w:spacing w:after="0"/>
        <w:jc w:val="center"/>
      </w:pPr>
      <w:r>
        <w:t>Panel B: Second Stage Spread Regressions using Fitted Values for LTV</w:t>
      </w:r>
    </w:p>
    <w:tbl>
      <w:tblPr>
        <w:tblW w:w="0" w:type="auto"/>
        <w:jc w:val="center"/>
        <w:tblCellMar>
          <w:left w:w="43" w:type="dxa"/>
          <w:right w:w="43" w:type="dxa"/>
        </w:tblCellMar>
        <w:tblLook w:val="04A0" w:firstRow="1" w:lastRow="0" w:firstColumn="1" w:lastColumn="0" w:noHBand="0" w:noVBand="1"/>
      </w:tblPr>
      <w:tblGrid>
        <w:gridCol w:w="2939"/>
        <w:gridCol w:w="672"/>
        <w:gridCol w:w="894"/>
        <w:gridCol w:w="672"/>
        <w:gridCol w:w="894"/>
      </w:tblGrid>
      <w:tr w:rsidR="0065555D" w:rsidRPr="008C6292" w14:paraId="35DD288A" w14:textId="77777777" w:rsidTr="00FB3903">
        <w:trPr>
          <w:trHeight w:val="264"/>
          <w:jc w:val="center"/>
        </w:trPr>
        <w:tc>
          <w:tcPr>
            <w:tcW w:w="0" w:type="auto"/>
            <w:gridSpan w:val="5"/>
            <w:tcBorders>
              <w:top w:val="single" w:sz="4" w:space="0" w:color="auto"/>
              <w:left w:val="nil"/>
              <w:right w:val="nil"/>
            </w:tcBorders>
            <w:shd w:val="clear" w:color="auto" w:fill="auto"/>
            <w:noWrap/>
            <w:vAlign w:val="bottom"/>
          </w:tcPr>
          <w:p w14:paraId="35DE8D3D" w14:textId="77777777" w:rsidR="0065555D" w:rsidRPr="008C6292" w:rsidRDefault="0065555D" w:rsidP="00FB3903">
            <w:pPr>
              <w:spacing w:after="0" w:line="240" w:lineRule="auto"/>
              <w:jc w:val="center"/>
              <w:rPr>
                <w:rFonts w:eastAsia="Times New Roman" w:cs="Times New Roman"/>
                <w:sz w:val="19"/>
                <w:szCs w:val="19"/>
              </w:rPr>
            </w:pPr>
            <w:r w:rsidRPr="008C6292">
              <w:rPr>
                <w:rFonts w:eastAsia="Times New Roman" w:cs="Times New Roman"/>
                <w:sz w:val="19"/>
                <w:szCs w:val="19"/>
              </w:rPr>
              <w:t>Dependent Variable = Spread (%)</w:t>
            </w:r>
          </w:p>
        </w:tc>
      </w:tr>
      <w:tr w:rsidR="0065555D" w:rsidRPr="008C6292" w14:paraId="7BCCE5DD" w14:textId="77777777" w:rsidTr="007049D5">
        <w:trPr>
          <w:trHeight w:val="264"/>
          <w:jc w:val="center"/>
        </w:trPr>
        <w:tc>
          <w:tcPr>
            <w:tcW w:w="0" w:type="auto"/>
            <w:tcBorders>
              <w:top w:val="single" w:sz="4" w:space="0" w:color="auto"/>
              <w:left w:val="nil"/>
              <w:right w:val="nil"/>
            </w:tcBorders>
            <w:shd w:val="clear" w:color="auto" w:fill="auto"/>
            <w:noWrap/>
            <w:vAlign w:val="bottom"/>
          </w:tcPr>
          <w:p w14:paraId="006905A3" w14:textId="77777777" w:rsidR="0065555D" w:rsidRPr="008C6292" w:rsidRDefault="0065555D" w:rsidP="00FB3903">
            <w:pPr>
              <w:spacing w:after="0" w:line="240" w:lineRule="auto"/>
              <w:rPr>
                <w:rFonts w:eastAsia="Times New Roman" w:cs="Times New Roman"/>
                <w:sz w:val="19"/>
                <w:szCs w:val="19"/>
              </w:rPr>
            </w:pPr>
          </w:p>
        </w:tc>
        <w:tc>
          <w:tcPr>
            <w:tcW w:w="0" w:type="auto"/>
            <w:gridSpan w:val="2"/>
            <w:tcBorders>
              <w:top w:val="single" w:sz="4" w:space="0" w:color="auto"/>
              <w:left w:val="nil"/>
              <w:bottom w:val="single" w:sz="4" w:space="0" w:color="auto"/>
              <w:right w:val="nil"/>
            </w:tcBorders>
            <w:shd w:val="clear" w:color="auto" w:fill="auto"/>
            <w:noWrap/>
            <w:vAlign w:val="bottom"/>
          </w:tcPr>
          <w:p w14:paraId="5809E6FA" w14:textId="77777777" w:rsidR="0065555D" w:rsidRPr="008C6292" w:rsidRDefault="0065555D" w:rsidP="007049D5">
            <w:pPr>
              <w:spacing w:after="0" w:line="240" w:lineRule="auto"/>
              <w:jc w:val="center"/>
              <w:rPr>
                <w:rFonts w:eastAsia="Times New Roman" w:cs="Times New Roman"/>
                <w:sz w:val="19"/>
                <w:szCs w:val="19"/>
              </w:rPr>
            </w:pPr>
            <w:r w:rsidRPr="008C6292">
              <w:rPr>
                <w:rFonts w:eastAsia="Times New Roman" w:cs="Times New Roman"/>
                <w:sz w:val="19"/>
                <w:szCs w:val="19"/>
              </w:rPr>
              <w:t>2SLS Spec. 1</w:t>
            </w:r>
          </w:p>
        </w:tc>
        <w:tc>
          <w:tcPr>
            <w:tcW w:w="0" w:type="auto"/>
            <w:gridSpan w:val="2"/>
            <w:tcBorders>
              <w:top w:val="single" w:sz="4" w:space="0" w:color="auto"/>
              <w:left w:val="nil"/>
              <w:bottom w:val="single" w:sz="4" w:space="0" w:color="auto"/>
              <w:right w:val="nil"/>
            </w:tcBorders>
            <w:shd w:val="clear" w:color="auto" w:fill="auto"/>
            <w:noWrap/>
            <w:vAlign w:val="bottom"/>
          </w:tcPr>
          <w:p w14:paraId="0EEED779" w14:textId="77777777" w:rsidR="0065555D" w:rsidRPr="008C6292" w:rsidRDefault="0065555D" w:rsidP="007049D5">
            <w:pPr>
              <w:spacing w:after="0" w:line="240" w:lineRule="auto"/>
              <w:jc w:val="center"/>
              <w:rPr>
                <w:rFonts w:eastAsia="Times New Roman" w:cs="Times New Roman"/>
                <w:sz w:val="19"/>
                <w:szCs w:val="19"/>
              </w:rPr>
            </w:pPr>
            <w:r w:rsidRPr="008C6292">
              <w:rPr>
                <w:rFonts w:eastAsia="Times New Roman" w:cs="Times New Roman"/>
                <w:sz w:val="19"/>
                <w:szCs w:val="19"/>
              </w:rPr>
              <w:t>2SLS Spec. 2</w:t>
            </w:r>
          </w:p>
        </w:tc>
      </w:tr>
      <w:tr w:rsidR="0065555D" w:rsidRPr="008C6292" w14:paraId="14B313CE" w14:textId="77777777" w:rsidTr="007049D5">
        <w:trPr>
          <w:trHeight w:val="264"/>
          <w:jc w:val="center"/>
        </w:trPr>
        <w:tc>
          <w:tcPr>
            <w:tcW w:w="0" w:type="auto"/>
            <w:tcBorders>
              <w:left w:val="nil"/>
              <w:bottom w:val="single" w:sz="4" w:space="0" w:color="auto"/>
              <w:right w:val="nil"/>
            </w:tcBorders>
            <w:shd w:val="clear" w:color="auto" w:fill="auto"/>
            <w:noWrap/>
            <w:vAlign w:val="bottom"/>
            <w:hideMark/>
          </w:tcPr>
          <w:p w14:paraId="7E9B563A" w14:textId="77777777" w:rsidR="0065555D" w:rsidRPr="008C6292" w:rsidRDefault="0065555D" w:rsidP="007049D5">
            <w:pPr>
              <w:spacing w:after="0" w:line="240" w:lineRule="auto"/>
              <w:jc w:val="left"/>
              <w:rPr>
                <w:rFonts w:eastAsia="Times New Roman" w:cs="Times New Roman"/>
                <w:sz w:val="19"/>
                <w:szCs w:val="19"/>
              </w:rPr>
            </w:pPr>
            <w:r w:rsidRPr="008C6292">
              <w:rPr>
                <w:rFonts w:eastAsia="Times New Roman" w:cs="Times New Roman"/>
                <w:sz w:val="19"/>
                <w:szCs w:val="19"/>
              </w:rPr>
              <w:t>Variable</w:t>
            </w:r>
          </w:p>
        </w:tc>
        <w:tc>
          <w:tcPr>
            <w:tcW w:w="0" w:type="auto"/>
            <w:tcBorders>
              <w:top w:val="single" w:sz="4" w:space="0" w:color="auto"/>
              <w:left w:val="nil"/>
              <w:bottom w:val="single" w:sz="4" w:space="0" w:color="auto"/>
              <w:right w:val="nil"/>
            </w:tcBorders>
            <w:shd w:val="clear" w:color="auto" w:fill="auto"/>
            <w:noWrap/>
            <w:vAlign w:val="bottom"/>
            <w:hideMark/>
          </w:tcPr>
          <w:p w14:paraId="2847F485" w14:textId="77777777" w:rsidR="0065555D" w:rsidRPr="008C6292" w:rsidRDefault="0065555D" w:rsidP="007049D5">
            <w:pPr>
              <w:spacing w:after="0" w:line="240" w:lineRule="auto"/>
              <w:jc w:val="center"/>
              <w:rPr>
                <w:rFonts w:eastAsia="Times New Roman" w:cs="Times New Roman"/>
                <w:color w:val="000000"/>
                <w:sz w:val="19"/>
                <w:szCs w:val="19"/>
              </w:rPr>
            </w:pPr>
            <w:r w:rsidRPr="008C6292">
              <w:rPr>
                <w:rFonts w:eastAsia="Times New Roman" w:cs="Times New Roman"/>
                <w:color w:val="000000"/>
                <w:sz w:val="19"/>
                <w:szCs w:val="19"/>
              </w:rPr>
              <w:t>Coeff.</w:t>
            </w:r>
          </w:p>
          <w:p w14:paraId="6B7C591F" w14:textId="77777777" w:rsidR="0065555D" w:rsidRPr="008C6292" w:rsidRDefault="0065555D" w:rsidP="007049D5">
            <w:pPr>
              <w:spacing w:after="0" w:line="240" w:lineRule="auto"/>
              <w:jc w:val="center"/>
              <w:rPr>
                <w:rFonts w:eastAsia="Times New Roman" w:cs="Times New Roman"/>
                <w:sz w:val="19"/>
                <w:szCs w:val="19"/>
              </w:rPr>
            </w:pPr>
            <w:r w:rsidRPr="008C6292">
              <w:rPr>
                <w:rFonts w:eastAsia="Times New Roman" w:cs="Times New Roman"/>
                <w:color w:val="000000"/>
                <w:sz w:val="19"/>
                <w:szCs w:val="19"/>
              </w:rPr>
              <w:t>Est.</w:t>
            </w:r>
          </w:p>
        </w:tc>
        <w:tc>
          <w:tcPr>
            <w:tcW w:w="0" w:type="auto"/>
            <w:tcBorders>
              <w:top w:val="single" w:sz="4" w:space="0" w:color="auto"/>
              <w:left w:val="nil"/>
              <w:bottom w:val="single" w:sz="4" w:space="0" w:color="auto"/>
              <w:right w:val="nil"/>
            </w:tcBorders>
            <w:shd w:val="clear" w:color="auto" w:fill="auto"/>
            <w:noWrap/>
            <w:vAlign w:val="bottom"/>
            <w:hideMark/>
          </w:tcPr>
          <w:p w14:paraId="1C73ED0E" w14:textId="77777777" w:rsidR="0065555D" w:rsidRPr="008C6292" w:rsidRDefault="0065555D" w:rsidP="007049D5">
            <w:pPr>
              <w:spacing w:after="0" w:line="240" w:lineRule="auto"/>
              <w:jc w:val="center"/>
              <w:rPr>
                <w:rFonts w:eastAsia="Times New Roman" w:cs="Times New Roman"/>
                <w:sz w:val="19"/>
                <w:szCs w:val="19"/>
              </w:rPr>
            </w:pPr>
            <w:r w:rsidRPr="008C6292">
              <w:rPr>
                <w:rFonts w:eastAsia="Times New Roman" w:cs="Times New Roman"/>
                <w:sz w:val="19"/>
                <w:szCs w:val="19"/>
              </w:rPr>
              <w:t>t-stat</w:t>
            </w:r>
          </w:p>
        </w:tc>
        <w:tc>
          <w:tcPr>
            <w:tcW w:w="0" w:type="auto"/>
            <w:tcBorders>
              <w:top w:val="single" w:sz="4" w:space="0" w:color="auto"/>
              <w:left w:val="nil"/>
              <w:bottom w:val="single" w:sz="4" w:space="0" w:color="auto"/>
              <w:right w:val="nil"/>
            </w:tcBorders>
            <w:shd w:val="clear" w:color="auto" w:fill="auto"/>
            <w:noWrap/>
            <w:vAlign w:val="bottom"/>
            <w:hideMark/>
          </w:tcPr>
          <w:p w14:paraId="2659F00E" w14:textId="77777777" w:rsidR="0065555D" w:rsidRPr="008C6292" w:rsidRDefault="0065555D" w:rsidP="007049D5">
            <w:pPr>
              <w:spacing w:after="0" w:line="240" w:lineRule="auto"/>
              <w:jc w:val="center"/>
              <w:rPr>
                <w:rFonts w:eastAsia="Times New Roman" w:cs="Times New Roman"/>
                <w:color w:val="000000"/>
                <w:sz w:val="19"/>
                <w:szCs w:val="19"/>
              </w:rPr>
            </w:pPr>
            <w:r w:rsidRPr="008C6292">
              <w:rPr>
                <w:rFonts w:eastAsia="Times New Roman" w:cs="Times New Roman"/>
                <w:color w:val="000000"/>
                <w:sz w:val="19"/>
                <w:szCs w:val="19"/>
              </w:rPr>
              <w:t>Coeff.</w:t>
            </w:r>
          </w:p>
          <w:p w14:paraId="635B04E0" w14:textId="77777777" w:rsidR="0065555D" w:rsidRPr="008C6292" w:rsidRDefault="0065555D" w:rsidP="007049D5">
            <w:pPr>
              <w:spacing w:after="0" w:line="240" w:lineRule="auto"/>
              <w:jc w:val="center"/>
              <w:rPr>
                <w:rFonts w:eastAsia="Times New Roman" w:cs="Times New Roman"/>
                <w:sz w:val="19"/>
                <w:szCs w:val="19"/>
              </w:rPr>
            </w:pPr>
            <w:r w:rsidRPr="008C6292">
              <w:rPr>
                <w:rFonts w:eastAsia="Times New Roman" w:cs="Times New Roman"/>
                <w:color w:val="000000"/>
                <w:sz w:val="19"/>
                <w:szCs w:val="19"/>
              </w:rPr>
              <w:t>Est.</w:t>
            </w:r>
          </w:p>
        </w:tc>
        <w:tc>
          <w:tcPr>
            <w:tcW w:w="0" w:type="auto"/>
            <w:tcBorders>
              <w:top w:val="single" w:sz="4" w:space="0" w:color="auto"/>
              <w:left w:val="nil"/>
              <w:bottom w:val="single" w:sz="4" w:space="0" w:color="auto"/>
              <w:right w:val="nil"/>
            </w:tcBorders>
            <w:shd w:val="clear" w:color="auto" w:fill="auto"/>
            <w:noWrap/>
            <w:vAlign w:val="bottom"/>
            <w:hideMark/>
          </w:tcPr>
          <w:p w14:paraId="35D703A1" w14:textId="77777777" w:rsidR="0065555D" w:rsidRPr="008C6292" w:rsidRDefault="0065555D" w:rsidP="007049D5">
            <w:pPr>
              <w:spacing w:after="0" w:line="240" w:lineRule="auto"/>
              <w:jc w:val="center"/>
              <w:rPr>
                <w:rFonts w:eastAsia="Times New Roman" w:cs="Times New Roman"/>
                <w:sz w:val="19"/>
                <w:szCs w:val="19"/>
              </w:rPr>
            </w:pPr>
            <w:r w:rsidRPr="008C6292">
              <w:rPr>
                <w:rFonts w:eastAsia="Times New Roman" w:cs="Times New Roman"/>
                <w:sz w:val="19"/>
                <w:szCs w:val="19"/>
              </w:rPr>
              <w:t>t-stat</w:t>
            </w:r>
          </w:p>
        </w:tc>
      </w:tr>
      <w:tr w:rsidR="0065555D" w:rsidRPr="008C6292" w14:paraId="7DB4BE8B"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350B70EC" w14:textId="77777777" w:rsidR="0065555D" w:rsidRPr="008C6292" w:rsidRDefault="0065555D" w:rsidP="007049D5">
            <w:pPr>
              <w:spacing w:after="0" w:line="240" w:lineRule="auto"/>
              <w:jc w:val="left"/>
              <w:rPr>
                <w:rFonts w:eastAsia="Times New Roman" w:cs="Times New Roman"/>
                <w:color w:val="000000"/>
                <w:sz w:val="19"/>
                <w:szCs w:val="19"/>
              </w:rPr>
            </w:pPr>
            <w:r w:rsidRPr="008C6292">
              <w:rPr>
                <w:rFonts w:eastAsia="Times New Roman" w:cs="Times New Roman"/>
                <w:color w:val="000000"/>
                <w:sz w:val="19"/>
                <w:szCs w:val="19"/>
              </w:rPr>
              <w:t>D(L1 Category 1)</w:t>
            </w:r>
          </w:p>
        </w:tc>
        <w:tc>
          <w:tcPr>
            <w:tcW w:w="0" w:type="auto"/>
            <w:tcBorders>
              <w:top w:val="nil"/>
              <w:left w:val="nil"/>
              <w:bottom w:val="nil"/>
              <w:right w:val="nil"/>
            </w:tcBorders>
            <w:shd w:val="clear" w:color="auto" w:fill="auto"/>
            <w:noWrap/>
            <w:vAlign w:val="center"/>
          </w:tcPr>
          <w:p w14:paraId="12F7D239" w14:textId="77777777" w:rsidR="0065555D" w:rsidRPr="008C6292" w:rsidRDefault="0065555D" w:rsidP="007049D5">
            <w:pPr>
              <w:spacing w:line="240" w:lineRule="auto"/>
              <w:jc w:val="center"/>
              <w:rPr>
                <w:sz w:val="19"/>
                <w:szCs w:val="19"/>
              </w:rPr>
            </w:pPr>
            <w:r w:rsidRPr="008C6292">
              <w:rPr>
                <w:sz w:val="19"/>
                <w:szCs w:val="19"/>
              </w:rPr>
              <w:t>0.0635</w:t>
            </w:r>
          </w:p>
        </w:tc>
        <w:tc>
          <w:tcPr>
            <w:tcW w:w="0" w:type="auto"/>
            <w:tcBorders>
              <w:top w:val="nil"/>
              <w:left w:val="nil"/>
              <w:bottom w:val="nil"/>
              <w:right w:val="nil"/>
            </w:tcBorders>
            <w:shd w:val="clear" w:color="auto" w:fill="auto"/>
            <w:noWrap/>
            <w:vAlign w:val="center"/>
          </w:tcPr>
          <w:p w14:paraId="484888EF" w14:textId="77777777" w:rsidR="0065555D" w:rsidRPr="008C6292" w:rsidRDefault="0065555D" w:rsidP="007049D5">
            <w:pPr>
              <w:spacing w:line="240" w:lineRule="auto"/>
              <w:jc w:val="center"/>
              <w:rPr>
                <w:sz w:val="19"/>
                <w:szCs w:val="19"/>
              </w:rPr>
            </w:pPr>
            <w:r w:rsidRPr="008C6292">
              <w:rPr>
                <w:sz w:val="19"/>
                <w:szCs w:val="19"/>
              </w:rPr>
              <w:t>(2.4404)</w:t>
            </w:r>
          </w:p>
        </w:tc>
        <w:tc>
          <w:tcPr>
            <w:tcW w:w="0" w:type="auto"/>
            <w:tcBorders>
              <w:top w:val="nil"/>
              <w:left w:val="nil"/>
              <w:bottom w:val="nil"/>
              <w:right w:val="nil"/>
            </w:tcBorders>
            <w:shd w:val="clear" w:color="auto" w:fill="auto"/>
            <w:noWrap/>
            <w:vAlign w:val="center"/>
            <w:hideMark/>
          </w:tcPr>
          <w:p w14:paraId="21BA0374" w14:textId="77777777" w:rsidR="0065555D" w:rsidRPr="008C6292" w:rsidRDefault="0065555D" w:rsidP="007049D5">
            <w:pPr>
              <w:spacing w:line="240" w:lineRule="auto"/>
              <w:jc w:val="center"/>
              <w:rPr>
                <w:sz w:val="19"/>
                <w:szCs w:val="19"/>
              </w:rPr>
            </w:pPr>
          </w:p>
        </w:tc>
        <w:tc>
          <w:tcPr>
            <w:tcW w:w="0" w:type="auto"/>
            <w:tcBorders>
              <w:top w:val="nil"/>
              <w:left w:val="nil"/>
              <w:bottom w:val="nil"/>
              <w:right w:val="nil"/>
            </w:tcBorders>
            <w:shd w:val="clear" w:color="auto" w:fill="auto"/>
            <w:noWrap/>
            <w:vAlign w:val="center"/>
            <w:hideMark/>
          </w:tcPr>
          <w:p w14:paraId="78234FAE" w14:textId="77777777" w:rsidR="0065555D" w:rsidRPr="008C6292" w:rsidRDefault="0065555D" w:rsidP="007049D5">
            <w:pPr>
              <w:spacing w:line="240" w:lineRule="auto"/>
              <w:jc w:val="center"/>
              <w:rPr>
                <w:sz w:val="19"/>
                <w:szCs w:val="19"/>
              </w:rPr>
            </w:pPr>
          </w:p>
        </w:tc>
      </w:tr>
      <w:tr w:rsidR="0065555D" w:rsidRPr="008C6292" w14:paraId="7CAD158F"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19FECFE9" w14:textId="77777777" w:rsidR="0065555D" w:rsidRPr="008C6292" w:rsidRDefault="0065555D" w:rsidP="007049D5">
            <w:pPr>
              <w:spacing w:after="0" w:line="240" w:lineRule="auto"/>
              <w:jc w:val="left"/>
              <w:rPr>
                <w:rFonts w:eastAsia="Times New Roman" w:cs="Times New Roman"/>
                <w:color w:val="000000"/>
                <w:sz w:val="19"/>
                <w:szCs w:val="19"/>
              </w:rPr>
            </w:pPr>
            <w:r w:rsidRPr="008C6292">
              <w:rPr>
                <w:rFonts w:eastAsia="Times New Roman" w:cs="Times New Roman"/>
                <w:color w:val="000000"/>
                <w:sz w:val="19"/>
                <w:szCs w:val="19"/>
              </w:rPr>
              <w:t>D(L1 Category 1) × D(L1 Rollover)</w:t>
            </w:r>
          </w:p>
        </w:tc>
        <w:tc>
          <w:tcPr>
            <w:tcW w:w="0" w:type="auto"/>
            <w:tcBorders>
              <w:top w:val="nil"/>
              <w:left w:val="nil"/>
              <w:bottom w:val="nil"/>
              <w:right w:val="nil"/>
            </w:tcBorders>
            <w:shd w:val="clear" w:color="auto" w:fill="auto"/>
            <w:noWrap/>
            <w:vAlign w:val="center"/>
          </w:tcPr>
          <w:p w14:paraId="5F7AE965" w14:textId="77777777" w:rsidR="0065555D" w:rsidRPr="008C6292" w:rsidRDefault="0065555D" w:rsidP="007049D5">
            <w:pPr>
              <w:spacing w:line="240" w:lineRule="auto"/>
              <w:jc w:val="center"/>
              <w:rPr>
                <w:sz w:val="19"/>
                <w:szCs w:val="19"/>
              </w:rPr>
            </w:pPr>
            <w:r w:rsidRPr="008C6292">
              <w:rPr>
                <w:sz w:val="19"/>
                <w:szCs w:val="19"/>
              </w:rPr>
              <w:t>-0.0088</w:t>
            </w:r>
          </w:p>
        </w:tc>
        <w:tc>
          <w:tcPr>
            <w:tcW w:w="0" w:type="auto"/>
            <w:tcBorders>
              <w:top w:val="nil"/>
              <w:left w:val="nil"/>
              <w:bottom w:val="nil"/>
              <w:right w:val="nil"/>
            </w:tcBorders>
            <w:shd w:val="clear" w:color="auto" w:fill="auto"/>
            <w:noWrap/>
            <w:vAlign w:val="center"/>
          </w:tcPr>
          <w:p w14:paraId="0958BA09" w14:textId="77777777" w:rsidR="0065555D" w:rsidRPr="008C6292" w:rsidRDefault="0065555D" w:rsidP="007049D5">
            <w:pPr>
              <w:spacing w:line="240" w:lineRule="auto"/>
              <w:jc w:val="center"/>
              <w:rPr>
                <w:sz w:val="19"/>
                <w:szCs w:val="19"/>
              </w:rPr>
            </w:pPr>
            <w:r w:rsidRPr="008C6292">
              <w:rPr>
                <w:sz w:val="19"/>
                <w:szCs w:val="19"/>
              </w:rPr>
              <w:t>(-0.3938)</w:t>
            </w:r>
          </w:p>
        </w:tc>
        <w:tc>
          <w:tcPr>
            <w:tcW w:w="0" w:type="auto"/>
            <w:tcBorders>
              <w:top w:val="nil"/>
              <w:left w:val="nil"/>
              <w:bottom w:val="nil"/>
              <w:right w:val="nil"/>
            </w:tcBorders>
            <w:shd w:val="clear" w:color="auto" w:fill="auto"/>
            <w:noWrap/>
            <w:vAlign w:val="center"/>
            <w:hideMark/>
          </w:tcPr>
          <w:p w14:paraId="2BE5A5CA" w14:textId="77777777" w:rsidR="0065555D" w:rsidRPr="008C6292" w:rsidRDefault="0065555D" w:rsidP="007049D5">
            <w:pPr>
              <w:spacing w:line="240" w:lineRule="auto"/>
              <w:jc w:val="center"/>
              <w:rPr>
                <w:sz w:val="19"/>
                <w:szCs w:val="19"/>
              </w:rPr>
            </w:pPr>
          </w:p>
        </w:tc>
        <w:tc>
          <w:tcPr>
            <w:tcW w:w="0" w:type="auto"/>
            <w:tcBorders>
              <w:top w:val="nil"/>
              <w:left w:val="nil"/>
              <w:bottom w:val="nil"/>
              <w:right w:val="nil"/>
            </w:tcBorders>
            <w:shd w:val="clear" w:color="auto" w:fill="auto"/>
            <w:noWrap/>
            <w:vAlign w:val="center"/>
            <w:hideMark/>
          </w:tcPr>
          <w:p w14:paraId="24160AE7" w14:textId="77777777" w:rsidR="0065555D" w:rsidRPr="008C6292" w:rsidRDefault="0065555D" w:rsidP="007049D5">
            <w:pPr>
              <w:spacing w:line="240" w:lineRule="auto"/>
              <w:jc w:val="center"/>
              <w:rPr>
                <w:sz w:val="19"/>
                <w:szCs w:val="19"/>
              </w:rPr>
            </w:pPr>
          </w:p>
        </w:tc>
      </w:tr>
      <w:tr w:rsidR="0065555D" w:rsidRPr="008C6292" w14:paraId="1829D248"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17210065" w14:textId="77777777" w:rsidR="0065555D" w:rsidRPr="008C6292" w:rsidRDefault="0065555D" w:rsidP="007049D5">
            <w:pPr>
              <w:spacing w:after="0" w:line="240" w:lineRule="auto"/>
              <w:jc w:val="left"/>
              <w:rPr>
                <w:rFonts w:eastAsia="Times New Roman" w:cs="Times New Roman"/>
                <w:color w:val="000000"/>
                <w:sz w:val="19"/>
                <w:szCs w:val="19"/>
              </w:rPr>
            </w:pPr>
            <w:r w:rsidRPr="008C6292">
              <w:rPr>
                <w:rFonts w:eastAsia="Times New Roman" w:cs="Times New Roman"/>
                <w:color w:val="000000"/>
                <w:sz w:val="19"/>
                <w:szCs w:val="19"/>
              </w:rPr>
              <w:t>D(L1 Category 2)</w:t>
            </w:r>
          </w:p>
        </w:tc>
        <w:tc>
          <w:tcPr>
            <w:tcW w:w="0" w:type="auto"/>
            <w:tcBorders>
              <w:top w:val="nil"/>
              <w:left w:val="nil"/>
              <w:bottom w:val="nil"/>
              <w:right w:val="nil"/>
            </w:tcBorders>
            <w:shd w:val="clear" w:color="auto" w:fill="auto"/>
            <w:noWrap/>
            <w:vAlign w:val="center"/>
          </w:tcPr>
          <w:p w14:paraId="6818D677" w14:textId="77777777" w:rsidR="0065555D" w:rsidRPr="008C6292" w:rsidRDefault="0065555D" w:rsidP="007049D5">
            <w:pPr>
              <w:spacing w:line="240" w:lineRule="auto"/>
              <w:jc w:val="center"/>
              <w:rPr>
                <w:sz w:val="19"/>
                <w:szCs w:val="19"/>
              </w:rPr>
            </w:pPr>
            <w:r w:rsidRPr="008C6292">
              <w:rPr>
                <w:sz w:val="19"/>
                <w:szCs w:val="19"/>
              </w:rPr>
              <w:t>0.0122</w:t>
            </w:r>
          </w:p>
        </w:tc>
        <w:tc>
          <w:tcPr>
            <w:tcW w:w="0" w:type="auto"/>
            <w:tcBorders>
              <w:top w:val="nil"/>
              <w:left w:val="nil"/>
              <w:bottom w:val="nil"/>
              <w:right w:val="nil"/>
            </w:tcBorders>
            <w:shd w:val="clear" w:color="auto" w:fill="auto"/>
            <w:noWrap/>
            <w:vAlign w:val="center"/>
          </w:tcPr>
          <w:p w14:paraId="1BE880C7" w14:textId="77777777" w:rsidR="0065555D" w:rsidRPr="008C6292" w:rsidRDefault="0065555D" w:rsidP="007049D5">
            <w:pPr>
              <w:spacing w:line="240" w:lineRule="auto"/>
              <w:jc w:val="center"/>
              <w:rPr>
                <w:sz w:val="19"/>
                <w:szCs w:val="19"/>
              </w:rPr>
            </w:pPr>
            <w:r w:rsidRPr="008C6292">
              <w:rPr>
                <w:sz w:val="19"/>
                <w:szCs w:val="19"/>
              </w:rPr>
              <w:t>(0.8794)</w:t>
            </w:r>
          </w:p>
        </w:tc>
        <w:tc>
          <w:tcPr>
            <w:tcW w:w="0" w:type="auto"/>
            <w:tcBorders>
              <w:top w:val="nil"/>
              <w:left w:val="nil"/>
              <w:bottom w:val="nil"/>
              <w:right w:val="nil"/>
            </w:tcBorders>
            <w:shd w:val="clear" w:color="auto" w:fill="auto"/>
            <w:noWrap/>
            <w:vAlign w:val="center"/>
            <w:hideMark/>
          </w:tcPr>
          <w:p w14:paraId="41A11B33" w14:textId="77777777" w:rsidR="0065555D" w:rsidRPr="008C6292" w:rsidRDefault="0065555D" w:rsidP="007049D5">
            <w:pPr>
              <w:spacing w:line="240" w:lineRule="auto"/>
              <w:jc w:val="center"/>
              <w:rPr>
                <w:sz w:val="19"/>
                <w:szCs w:val="19"/>
              </w:rPr>
            </w:pPr>
          </w:p>
        </w:tc>
        <w:tc>
          <w:tcPr>
            <w:tcW w:w="0" w:type="auto"/>
            <w:tcBorders>
              <w:top w:val="nil"/>
              <w:left w:val="nil"/>
              <w:bottom w:val="nil"/>
              <w:right w:val="nil"/>
            </w:tcBorders>
            <w:shd w:val="clear" w:color="auto" w:fill="auto"/>
            <w:noWrap/>
            <w:vAlign w:val="center"/>
            <w:hideMark/>
          </w:tcPr>
          <w:p w14:paraId="5C9D4340" w14:textId="77777777" w:rsidR="0065555D" w:rsidRPr="008C6292" w:rsidRDefault="0065555D" w:rsidP="007049D5">
            <w:pPr>
              <w:spacing w:line="240" w:lineRule="auto"/>
              <w:jc w:val="center"/>
              <w:rPr>
                <w:sz w:val="19"/>
                <w:szCs w:val="19"/>
              </w:rPr>
            </w:pPr>
          </w:p>
        </w:tc>
      </w:tr>
      <w:tr w:rsidR="0065555D" w:rsidRPr="008C6292" w14:paraId="25735780"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1774DA71" w14:textId="77777777" w:rsidR="0065555D" w:rsidRPr="008C6292" w:rsidRDefault="0065555D" w:rsidP="007049D5">
            <w:pPr>
              <w:spacing w:after="0" w:line="240" w:lineRule="auto"/>
              <w:jc w:val="left"/>
              <w:rPr>
                <w:rFonts w:eastAsia="Times New Roman" w:cs="Times New Roman"/>
                <w:color w:val="000000"/>
                <w:sz w:val="19"/>
                <w:szCs w:val="19"/>
              </w:rPr>
            </w:pPr>
            <w:r w:rsidRPr="008C6292">
              <w:rPr>
                <w:rFonts w:eastAsia="Times New Roman" w:cs="Times New Roman"/>
                <w:color w:val="000000"/>
                <w:sz w:val="19"/>
                <w:szCs w:val="19"/>
              </w:rPr>
              <w:t>D(L1 Category 2) × D(L1 Rollover)</w:t>
            </w:r>
          </w:p>
        </w:tc>
        <w:tc>
          <w:tcPr>
            <w:tcW w:w="0" w:type="auto"/>
            <w:tcBorders>
              <w:top w:val="nil"/>
              <w:left w:val="nil"/>
              <w:bottom w:val="nil"/>
              <w:right w:val="nil"/>
            </w:tcBorders>
            <w:shd w:val="clear" w:color="auto" w:fill="auto"/>
            <w:noWrap/>
            <w:vAlign w:val="center"/>
          </w:tcPr>
          <w:p w14:paraId="78ECE30F" w14:textId="77777777" w:rsidR="0065555D" w:rsidRPr="008C6292" w:rsidRDefault="0065555D" w:rsidP="007049D5">
            <w:pPr>
              <w:spacing w:line="240" w:lineRule="auto"/>
              <w:jc w:val="center"/>
              <w:rPr>
                <w:sz w:val="19"/>
                <w:szCs w:val="19"/>
              </w:rPr>
            </w:pPr>
            <w:r w:rsidRPr="008C6292">
              <w:rPr>
                <w:sz w:val="19"/>
                <w:szCs w:val="19"/>
              </w:rPr>
              <w:t>0.0157</w:t>
            </w:r>
          </w:p>
        </w:tc>
        <w:tc>
          <w:tcPr>
            <w:tcW w:w="0" w:type="auto"/>
            <w:tcBorders>
              <w:top w:val="nil"/>
              <w:left w:val="nil"/>
              <w:bottom w:val="nil"/>
              <w:right w:val="nil"/>
            </w:tcBorders>
            <w:shd w:val="clear" w:color="auto" w:fill="auto"/>
            <w:noWrap/>
            <w:vAlign w:val="center"/>
          </w:tcPr>
          <w:p w14:paraId="32CFB7A0" w14:textId="77777777" w:rsidR="0065555D" w:rsidRPr="008C6292" w:rsidRDefault="0065555D" w:rsidP="007049D5">
            <w:pPr>
              <w:spacing w:line="240" w:lineRule="auto"/>
              <w:jc w:val="center"/>
              <w:rPr>
                <w:sz w:val="19"/>
                <w:szCs w:val="19"/>
              </w:rPr>
            </w:pPr>
            <w:r w:rsidRPr="008C6292">
              <w:rPr>
                <w:sz w:val="19"/>
                <w:szCs w:val="19"/>
              </w:rPr>
              <w:t>(1.2845)</w:t>
            </w:r>
          </w:p>
        </w:tc>
        <w:tc>
          <w:tcPr>
            <w:tcW w:w="0" w:type="auto"/>
            <w:tcBorders>
              <w:top w:val="nil"/>
              <w:left w:val="nil"/>
              <w:bottom w:val="nil"/>
              <w:right w:val="nil"/>
            </w:tcBorders>
            <w:shd w:val="clear" w:color="auto" w:fill="auto"/>
            <w:noWrap/>
            <w:vAlign w:val="center"/>
            <w:hideMark/>
          </w:tcPr>
          <w:p w14:paraId="65C454A8" w14:textId="77777777" w:rsidR="0065555D" w:rsidRPr="008C6292" w:rsidRDefault="0065555D" w:rsidP="007049D5">
            <w:pPr>
              <w:spacing w:line="240" w:lineRule="auto"/>
              <w:jc w:val="center"/>
              <w:rPr>
                <w:sz w:val="19"/>
                <w:szCs w:val="19"/>
              </w:rPr>
            </w:pPr>
          </w:p>
        </w:tc>
        <w:tc>
          <w:tcPr>
            <w:tcW w:w="0" w:type="auto"/>
            <w:tcBorders>
              <w:top w:val="nil"/>
              <w:left w:val="nil"/>
              <w:bottom w:val="nil"/>
              <w:right w:val="nil"/>
            </w:tcBorders>
            <w:shd w:val="clear" w:color="auto" w:fill="auto"/>
            <w:noWrap/>
            <w:vAlign w:val="center"/>
            <w:hideMark/>
          </w:tcPr>
          <w:p w14:paraId="37F0A193" w14:textId="77777777" w:rsidR="0065555D" w:rsidRPr="008C6292" w:rsidRDefault="0065555D" w:rsidP="007049D5">
            <w:pPr>
              <w:spacing w:line="240" w:lineRule="auto"/>
              <w:jc w:val="center"/>
              <w:rPr>
                <w:sz w:val="19"/>
                <w:szCs w:val="19"/>
              </w:rPr>
            </w:pPr>
          </w:p>
        </w:tc>
      </w:tr>
      <w:tr w:rsidR="0065555D" w:rsidRPr="008C6292" w14:paraId="29940E67"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54F08DD5" w14:textId="77777777" w:rsidR="0065555D" w:rsidRPr="008C6292" w:rsidRDefault="0065555D" w:rsidP="007049D5">
            <w:pPr>
              <w:spacing w:after="0" w:line="240" w:lineRule="auto"/>
              <w:jc w:val="left"/>
              <w:rPr>
                <w:rFonts w:eastAsia="Times New Roman" w:cs="Times New Roman"/>
                <w:color w:val="000000"/>
                <w:sz w:val="19"/>
                <w:szCs w:val="19"/>
              </w:rPr>
            </w:pPr>
            <w:r w:rsidRPr="008C6292">
              <w:rPr>
                <w:rFonts w:eastAsia="Times New Roman" w:cs="Times New Roman"/>
                <w:color w:val="000000"/>
                <w:sz w:val="19"/>
                <w:szCs w:val="19"/>
              </w:rPr>
              <w:t>D(L1 Category 3)</w:t>
            </w:r>
          </w:p>
        </w:tc>
        <w:tc>
          <w:tcPr>
            <w:tcW w:w="0" w:type="auto"/>
            <w:tcBorders>
              <w:top w:val="nil"/>
              <w:left w:val="nil"/>
              <w:bottom w:val="nil"/>
              <w:right w:val="nil"/>
            </w:tcBorders>
            <w:shd w:val="clear" w:color="auto" w:fill="auto"/>
            <w:noWrap/>
            <w:vAlign w:val="center"/>
          </w:tcPr>
          <w:p w14:paraId="2B7E1765" w14:textId="77777777" w:rsidR="0065555D" w:rsidRPr="008C6292" w:rsidRDefault="0065555D" w:rsidP="007049D5">
            <w:pPr>
              <w:spacing w:line="240" w:lineRule="auto"/>
              <w:jc w:val="center"/>
              <w:rPr>
                <w:sz w:val="19"/>
                <w:szCs w:val="19"/>
              </w:rPr>
            </w:pPr>
            <w:r w:rsidRPr="008C6292">
              <w:rPr>
                <w:sz w:val="19"/>
                <w:szCs w:val="19"/>
              </w:rPr>
              <w:t>-0.0545</w:t>
            </w:r>
          </w:p>
        </w:tc>
        <w:tc>
          <w:tcPr>
            <w:tcW w:w="0" w:type="auto"/>
            <w:tcBorders>
              <w:top w:val="nil"/>
              <w:left w:val="nil"/>
              <w:bottom w:val="nil"/>
              <w:right w:val="nil"/>
            </w:tcBorders>
            <w:shd w:val="clear" w:color="auto" w:fill="auto"/>
            <w:noWrap/>
            <w:vAlign w:val="center"/>
          </w:tcPr>
          <w:p w14:paraId="1F545090" w14:textId="77777777" w:rsidR="0065555D" w:rsidRPr="008C6292" w:rsidRDefault="0065555D" w:rsidP="007049D5">
            <w:pPr>
              <w:spacing w:line="240" w:lineRule="auto"/>
              <w:jc w:val="center"/>
              <w:rPr>
                <w:sz w:val="19"/>
                <w:szCs w:val="19"/>
              </w:rPr>
            </w:pPr>
            <w:r w:rsidRPr="008C6292">
              <w:rPr>
                <w:sz w:val="19"/>
                <w:szCs w:val="19"/>
              </w:rPr>
              <w:t>(-3.0991)</w:t>
            </w:r>
          </w:p>
        </w:tc>
        <w:tc>
          <w:tcPr>
            <w:tcW w:w="0" w:type="auto"/>
            <w:tcBorders>
              <w:top w:val="nil"/>
              <w:left w:val="nil"/>
              <w:bottom w:val="nil"/>
              <w:right w:val="nil"/>
            </w:tcBorders>
            <w:shd w:val="clear" w:color="auto" w:fill="auto"/>
            <w:noWrap/>
            <w:vAlign w:val="center"/>
            <w:hideMark/>
          </w:tcPr>
          <w:p w14:paraId="00A37A1C" w14:textId="77777777" w:rsidR="0065555D" w:rsidRPr="008C6292" w:rsidRDefault="0065555D" w:rsidP="007049D5">
            <w:pPr>
              <w:spacing w:line="240" w:lineRule="auto"/>
              <w:jc w:val="center"/>
              <w:rPr>
                <w:sz w:val="19"/>
                <w:szCs w:val="19"/>
              </w:rPr>
            </w:pPr>
          </w:p>
        </w:tc>
        <w:tc>
          <w:tcPr>
            <w:tcW w:w="0" w:type="auto"/>
            <w:tcBorders>
              <w:top w:val="nil"/>
              <w:left w:val="nil"/>
              <w:bottom w:val="nil"/>
              <w:right w:val="nil"/>
            </w:tcBorders>
            <w:shd w:val="clear" w:color="auto" w:fill="auto"/>
            <w:noWrap/>
            <w:vAlign w:val="center"/>
            <w:hideMark/>
          </w:tcPr>
          <w:p w14:paraId="1A9036D3" w14:textId="77777777" w:rsidR="0065555D" w:rsidRPr="008C6292" w:rsidRDefault="0065555D" w:rsidP="007049D5">
            <w:pPr>
              <w:spacing w:line="240" w:lineRule="auto"/>
              <w:jc w:val="center"/>
              <w:rPr>
                <w:sz w:val="19"/>
                <w:szCs w:val="19"/>
              </w:rPr>
            </w:pPr>
          </w:p>
        </w:tc>
      </w:tr>
      <w:tr w:rsidR="0065555D" w:rsidRPr="008C6292" w14:paraId="2195A80C"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2FF94AEA" w14:textId="77777777" w:rsidR="0065555D" w:rsidRPr="008C6292" w:rsidRDefault="0065555D" w:rsidP="007049D5">
            <w:pPr>
              <w:spacing w:after="0" w:line="240" w:lineRule="auto"/>
              <w:jc w:val="left"/>
              <w:rPr>
                <w:rFonts w:eastAsia="Times New Roman" w:cs="Times New Roman"/>
                <w:color w:val="000000"/>
                <w:sz w:val="19"/>
                <w:szCs w:val="19"/>
              </w:rPr>
            </w:pPr>
            <w:r w:rsidRPr="008C6292">
              <w:rPr>
                <w:rFonts w:eastAsia="Times New Roman" w:cs="Times New Roman"/>
                <w:color w:val="000000"/>
                <w:sz w:val="19"/>
                <w:szCs w:val="19"/>
              </w:rPr>
              <w:t>D(L1 Category 3) × D(L1 Rollover)</w:t>
            </w:r>
          </w:p>
        </w:tc>
        <w:tc>
          <w:tcPr>
            <w:tcW w:w="0" w:type="auto"/>
            <w:tcBorders>
              <w:top w:val="nil"/>
              <w:left w:val="nil"/>
              <w:bottom w:val="nil"/>
              <w:right w:val="nil"/>
            </w:tcBorders>
            <w:shd w:val="clear" w:color="auto" w:fill="auto"/>
            <w:noWrap/>
            <w:vAlign w:val="center"/>
          </w:tcPr>
          <w:p w14:paraId="09BBCBC4" w14:textId="77777777" w:rsidR="0065555D" w:rsidRPr="008C6292" w:rsidRDefault="0065555D" w:rsidP="007049D5">
            <w:pPr>
              <w:spacing w:line="240" w:lineRule="auto"/>
              <w:jc w:val="center"/>
              <w:rPr>
                <w:sz w:val="19"/>
                <w:szCs w:val="19"/>
              </w:rPr>
            </w:pPr>
            <w:r w:rsidRPr="008C6292">
              <w:rPr>
                <w:sz w:val="19"/>
                <w:szCs w:val="19"/>
              </w:rPr>
              <w:t>0.0592</w:t>
            </w:r>
          </w:p>
        </w:tc>
        <w:tc>
          <w:tcPr>
            <w:tcW w:w="0" w:type="auto"/>
            <w:tcBorders>
              <w:top w:val="nil"/>
              <w:left w:val="nil"/>
              <w:bottom w:val="nil"/>
              <w:right w:val="nil"/>
            </w:tcBorders>
            <w:shd w:val="clear" w:color="auto" w:fill="auto"/>
            <w:noWrap/>
            <w:vAlign w:val="center"/>
          </w:tcPr>
          <w:p w14:paraId="0484C462" w14:textId="77777777" w:rsidR="0065555D" w:rsidRPr="008C6292" w:rsidRDefault="0065555D" w:rsidP="007049D5">
            <w:pPr>
              <w:spacing w:line="240" w:lineRule="auto"/>
              <w:jc w:val="center"/>
              <w:rPr>
                <w:sz w:val="19"/>
                <w:szCs w:val="19"/>
              </w:rPr>
            </w:pPr>
            <w:r w:rsidRPr="008C6292">
              <w:rPr>
                <w:sz w:val="19"/>
                <w:szCs w:val="19"/>
              </w:rPr>
              <w:t>(4.0265)</w:t>
            </w:r>
          </w:p>
        </w:tc>
        <w:tc>
          <w:tcPr>
            <w:tcW w:w="0" w:type="auto"/>
            <w:tcBorders>
              <w:top w:val="nil"/>
              <w:left w:val="nil"/>
              <w:bottom w:val="nil"/>
              <w:right w:val="nil"/>
            </w:tcBorders>
            <w:shd w:val="clear" w:color="auto" w:fill="auto"/>
            <w:noWrap/>
            <w:vAlign w:val="center"/>
            <w:hideMark/>
          </w:tcPr>
          <w:p w14:paraId="746E98D6" w14:textId="77777777" w:rsidR="0065555D" w:rsidRPr="008C6292" w:rsidRDefault="0065555D" w:rsidP="007049D5">
            <w:pPr>
              <w:spacing w:line="240" w:lineRule="auto"/>
              <w:jc w:val="center"/>
              <w:rPr>
                <w:sz w:val="19"/>
                <w:szCs w:val="19"/>
              </w:rPr>
            </w:pPr>
          </w:p>
        </w:tc>
        <w:tc>
          <w:tcPr>
            <w:tcW w:w="0" w:type="auto"/>
            <w:tcBorders>
              <w:top w:val="nil"/>
              <w:left w:val="nil"/>
              <w:bottom w:val="nil"/>
              <w:right w:val="nil"/>
            </w:tcBorders>
            <w:shd w:val="clear" w:color="auto" w:fill="auto"/>
            <w:noWrap/>
            <w:vAlign w:val="center"/>
            <w:hideMark/>
          </w:tcPr>
          <w:p w14:paraId="51EA38E6" w14:textId="77777777" w:rsidR="0065555D" w:rsidRPr="008C6292" w:rsidRDefault="0065555D" w:rsidP="007049D5">
            <w:pPr>
              <w:spacing w:line="240" w:lineRule="auto"/>
              <w:jc w:val="center"/>
              <w:rPr>
                <w:sz w:val="19"/>
                <w:szCs w:val="19"/>
              </w:rPr>
            </w:pPr>
          </w:p>
        </w:tc>
      </w:tr>
      <w:tr w:rsidR="0065555D" w:rsidRPr="008C6292" w14:paraId="63162054"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055C9BB2" w14:textId="77777777" w:rsidR="0065555D" w:rsidRPr="008C6292" w:rsidRDefault="0065555D" w:rsidP="007049D5">
            <w:pPr>
              <w:spacing w:after="0" w:line="240" w:lineRule="auto"/>
              <w:jc w:val="left"/>
              <w:rPr>
                <w:rFonts w:eastAsia="Times New Roman" w:cs="Times New Roman"/>
                <w:color w:val="000000"/>
                <w:sz w:val="19"/>
                <w:szCs w:val="19"/>
              </w:rPr>
            </w:pPr>
            <w:r w:rsidRPr="008C6292">
              <w:rPr>
                <w:rFonts w:eastAsia="Times New Roman" w:cs="Times New Roman"/>
                <w:color w:val="000000"/>
                <w:sz w:val="19"/>
                <w:szCs w:val="19"/>
              </w:rPr>
              <w:t>D(L1 Category 4)</w:t>
            </w:r>
          </w:p>
        </w:tc>
        <w:tc>
          <w:tcPr>
            <w:tcW w:w="0" w:type="auto"/>
            <w:tcBorders>
              <w:top w:val="nil"/>
              <w:left w:val="nil"/>
              <w:bottom w:val="nil"/>
              <w:right w:val="nil"/>
            </w:tcBorders>
            <w:shd w:val="clear" w:color="auto" w:fill="auto"/>
            <w:noWrap/>
            <w:vAlign w:val="center"/>
          </w:tcPr>
          <w:p w14:paraId="4CCDAC24" w14:textId="77777777" w:rsidR="0065555D" w:rsidRPr="008C6292" w:rsidRDefault="0065555D" w:rsidP="007049D5">
            <w:pPr>
              <w:spacing w:line="240" w:lineRule="auto"/>
              <w:jc w:val="center"/>
              <w:rPr>
                <w:sz w:val="19"/>
                <w:szCs w:val="19"/>
              </w:rPr>
            </w:pPr>
            <w:r w:rsidRPr="008C6292">
              <w:rPr>
                <w:sz w:val="19"/>
                <w:szCs w:val="19"/>
              </w:rPr>
              <w:t>-0.0524</w:t>
            </w:r>
          </w:p>
        </w:tc>
        <w:tc>
          <w:tcPr>
            <w:tcW w:w="0" w:type="auto"/>
            <w:tcBorders>
              <w:top w:val="nil"/>
              <w:left w:val="nil"/>
              <w:bottom w:val="nil"/>
              <w:right w:val="nil"/>
            </w:tcBorders>
            <w:shd w:val="clear" w:color="auto" w:fill="auto"/>
            <w:noWrap/>
            <w:vAlign w:val="center"/>
          </w:tcPr>
          <w:p w14:paraId="0951CEED" w14:textId="77777777" w:rsidR="0065555D" w:rsidRPr="008C6292" w:rsidRDefault="0065555D" w:rsidP="007049D5">
            <w:pPr>
              <w:spacing w:line="240" w:lineRule="auto"/>
              <w:jc w:val="center"/>
              <w:rPr>
                <w:sz w:val="19"/>
                <w:szCs w:val="19"/>
              </w:rPr>
            </w:pPr>
            <w:r w:rsidRPr="008C6292">
              <w:rPr>
                <w:sz w:val="19"/>
                <w:szCs w:val="19"/>
              </w:rPr>
              <w:t>(-3.2230)</w:t>
            </w:r>
          </w:p>
        </w:tc>
        <w:tc>
          <w:tcPr>
            <w:tcW w:w="0" w:type="auto"/>
            <w:tcBorders>
              <w:top w:val="nil"/>
              <w:left w:val="nil"/>
              <w:bottom w:val="nil"/>
              <w:right w:val="nil"/>
            </w:tcBorders>
            <w:shd w:val="clear" w:color="auto" w:fill="auto"/>
            <w:noWrap/>
            <w:vAlign w:val="center"/>
            <w:hideMark/>
          </w:tcPr>
          <w:p w14:paraId="227C1884" w14:textId="77777777" w:rsidR="0065555D" w:rsidRPr="008C6292" w:rsidRDefault="0065555D" w:rsidP="007049D5">
            <w:pPr>
              <w:spacing w:line="240" w:lineRule="auto"/>
              <w:jc w:val="center"/>
              <w:rPr>
                <w:sz w:val="19"/>
                <w:szCs w:val="19"/>
              </w:rPr>
            </w:pPr>
          </w:p>
        </w:tc>
        <w:tc>
          <w:tcPr>
            <w:tcW w:w="0" w:type="auto"/>
            <w:tcBorders>
              <w:top w:val="nil"/>
              <w:left w:val="nil"/>
              <w:bottom w:val="nil"/>
              <w:right w:val="nil"/>
            </w:tcBorders>
            <w:shd w:val="clear" w:color="auto" w:fill="auto"/>
            <w:noWrap/>
            <w:vAlign w:val="center"/>
            <w:hideMark/>
          </w:tcPr>
          <w:p w14:paraId="0DC53F32" w14:textId="77777777" w:rsidR="0065555D" w:rsidRPr="008C6292" w:rsidRDefault="0065555D" w:rsidP="007049D5">
            <w:pPr>
              <w:spacing w:line="240" w:lineRule="auto"/>
              <w:jc w:val="center"/>
              <w:rPr>
                <w:sz w:val="19"/>
                <w:szCs w:val="19"/>
              </w:rPr>
            </w:pPr>
          </w:p>
        </w:tc>
      </w:tr>
      <w:tr w:rsidR="0065555D" w:rsidRPr="008C6292" w14:paraId="3399645C"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62E31513" w14:textId="77777777" w:rsidR="0065555D" w:rsidRPr="008C6292" w:rsidRDefault="0065555D" w:rsidP="007049D5">
            <w:pPr>
              <w:spacing w:after="0" w:line="240" w:lineRule="auto"/>
              <w:jc w:val="left"/>
              <w:rPr>
                <w:rFonts w:eastAsia="Times New Roman" w:cs="Times New Roman"/>
                <w:color w:val="000000"/>
                <w:sz w:val="19"/>
                <w:szCs w:val="19"/>
              </w:rPr>
            </w:pPr>
            <w:r w:rsidRPr="008C6292">
              <w:rPr>
                <w:rFonts w:eastAsia="Times New Roman" w:cs="Times New Roman"/>
                <w:color w:val="000000"/>
                <w:sz w:val="19"/>
                <w:szCs w:val="19"/>
              </w:rPr>
              <w:t>D(L1 Category 4) × D(L1 Rollover)</w:t>
            </w:r>
          </w:p>
        </w:tc>
        <w:tc>
          <w:tcPr>
            <w:tcW w:w="0" w:type="auto"/>
            <w:tcBorders>
              <w:top w:val="nil"/>
              <w:left w:val="nil"/>
              <w:bottom w:val="nil"/>
              <w:right w:val="nil"/>
            </w:tcBorders>
            <w:shd w:val="clear" w:color="auto" w:fill="auto"/>
            <w:noWrap/>
            <w:vAlign w:val="center"/>
          </w:tcPr>
          <w:p w14:paraId="3CAC5C95" w14:textId="77777777" w:rsidR="0065555D" w:rsidRPr="008C6292" w:rsidRDefault="0065555D" w:rsidP="007049D5">
            <w:pPr>
              <w:spacing w:line="240" w:lineRule="auto"/>
              <w:jc w:val="center"/>
              <w:rPr>
                <w:sz w:val="19"/>
                <w:szCs w:val="19"/>
              </w:rPr>
            </w:pPr>
            <w:r w:rsidRPr="008C6292">
              <w:rPr>
                <w:sz w:val="19"/>
                <w:szCs w:val="19"/>
              </w:rPr>
              <w:t>0.0372</w:t>
            </w:r>
          </w:p>
        </w:tc>
        <w:tc>
          <w:tcPr>
            <w:tcW w:w="0" w:type="auto"/>
            <w:tcBorders>
              <w:top w:val="nil"/>
              <w:left w:val="nil"/>
              <w:bottom w:val="nil"/>
              <w:right w:val="nil"/>
            </w:tcBorders>
            <w:shd w:val="clear" w:color="auto" w:fill="auto"/>
            <w:noWrap/>
            <w:vAlign w:val="center"/>
          </w:tcPr>
          <w:p w14:paraId="3B68A26F" w14:textId="77777777" w:rsidR="0065555D" w:rsidRPr="008C6292" w:rsidRDefault="0065555D" w:rsidP="007049D5">
            <w:pPr>
              <w:spacing w:line="240" w:lineRule="auto"/>
              <w:jc w:val="center"/>
              <w:rPr>
                <w:sz w:val="19"/>
                <w:szCs w:val="19"/>
              </w:rPr>
            </w:pPr>
            <w:r w:rsidRPr="008C6292">
              <w:rPr>
                <w:sz w:val="19"/>
                <w:szCs w:val="19"/>
              </w:rPr>
              <w:t>(2.2452)</w:t>
            </w:r>
          </w:p>
        </w:tc>
        <w:tc>
          <w:tcPr>
            <w:tcW w:w="0" w:type="auto"/>
            <w:tcBorders>
              <w:top w:val="nil"/>
              <w:left w:val="nil"/>
              <w:bottom w:val="nil"/>
              <w:right w:val="nil"/>
            </w:tcBorders>
            <w:shd w:val="clear" w:color="auto" w:fill="auto"/>
            <w:noWrap/>
            <w:vAlign w:val="center"/>
            <w:hideMark/>
          </w:tcPr>
          <w:p w14:paraId="382C6227" w14:textId="77777777" w:rsidR="0065555D" w:rsidRPr="008C6292" w:rsidRDefault="0065555D" w:rsidP="007049D5">
            <w:pPr>
              <w:spacing w:line="240" w:lineRule="auto"/>
              <w:jc w:val="center"/>
              <w:rPr>
                <w:sz w:val="19"/>
                <w:szCs w:val="19"/>
              </w:rPr>
            </w:pPr>
          </w:p>
        </w:tc>
        <w:tc>
          <w:tcPr>
            <w:tcW w:w="0" w:type="auto"/>
            <w:tcBorders>
              <w:top w:val="nil"/>
              <w:left w:val="nil"/>
              <w:bottom w:val="nil"/>
              <w:right w:val="nil"/>
            </w:tcBorders>
            <w:shd w:val="clear" w:color="auto" w:fill="auto"/>
            <w:noWrap/>
            <w:vAlign w:val="center"/>
            <w:hideMark/>
          </w:tcPr>
          <w:p w14:paraId="19BE463D" w14:textId="77777777" w:rsidR="0065555D" w:rsidRPr="008C6292" w:rsidRDefault="0065555D" w:rsidP="007049D5">
            <w:pPr>
              <w:spacing w:line="240" w:lineRule="auto"/>
              <w:jc w:val="center"/>
              <w:rPr>
                <w:sz w:val="19"/>
                <w:szCs w:val="19"/>
              </w:rPr>
            </w:pPr>
          </w:p>
        </w:tc>
      </w:tr>
      <w:tr w:rsidR="0065555D" w:rsidRPr="008C6292" w14:paraId="6F4A047D"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1EABDADE" w14:textId="77777777" w:rsidR="0065555D" w:rsidRPr="008C6292" w:rsidRDefault="0065555D" w:rsidP="007049D5">
            <w:pPr>
              <w:spacing w:after="0" w:line="240" w:lineRule="auto"/>
              <w:jc w:val="left"/>
              <w:rPr>
                <w:rFonts w:eastAsia="Times New Roman" w:cs="Times New Roman"/>
                <w:color w:val="000000"/>
                <w:sz w:val="19"/>
                <w:szCs w:val="19"/>
              </w:rPr>
            </w:pPr>
            <w:r w:rsidRPr="008C6292">
              <w:rPr>
                <w:rFonts w:eastAsia="Times New Roman" w:cs="Times New Roman"/>
                <w:color w:val="000000"/>
                <w:sz w:val="19"/>
                <w:szCs w:val="19"/>
              </w:rPr>
              <w:t>D(L1 Category 5)</w:t>
            </w:r>
          </w:p>
        </w:tc>
        <w:tc>
          <w:tcPr>
            <w:tcW w:w="0" w:type="auto"/>
            <w:tcBorders>
              <w:top w:val="nil"/>
              <w:left w:val="nil"/>
              <w:bottom w:val="nil"/>
              <w:right w:val="nil"/>
            </w:tcBorders>
            <w:shd w:val="clear" w:color="auto" w:fill="auto"/>
            <w:noWrap/>
            <w:vAlign w:val="center"/>
          </w:tcPr>
          <w:p w14:paraId="41F82807" w14:textId="77777777" w:rsidR="0065555D" w:rsidRPr="008C6292" w:rsidRDefault="0065555D" w:rsidP="007049D5">
            <w:pPr>
              <w:spacing w:line="240" w:lineRule="auto"/>
              <w:jc w:val="center"/>
              <w:rPr>
                <w:sz w:val="19"/>
                <w:szCs w:val="19"/>
              </w:rPr>
            </w:pPr>
            <w:r w:rsidRPr="008C6292">
              <w:rPr>
                <w:sz w:val="19"/>
                <w:szCs w:val="19"/>
              </w:rPr>
              <w:t>-0.0455</w:t>
            </w:r>
          </w:p>
        </w:tc>
        <w:tc>
          <w:tcPr>
            <w:tcW w:w="0" w:type="auto"/>
            <w:tcBorders>
              <w:top w:val="nil"/>
              <w:left w:val="nil"/>
              <w:bottom w:val="nil"/>
              <w:right w:val="nil"/>
            </w:tcBorders>
            <w:shd w:val="clear" w:color="auto" w:fill="auto"/>
            <w:noWrap/>
            <w:vAlign w:val="center"/>
          </w:tcPr>
          <w:p w14:paraId="682462EA" w14:textId="77777777" w:rsidR="0065555D" w:rsidRPr="008C6292" w:rsidRDefault="0065555D" w:rsidP="007049D5">
            <w:pPr>
              <w:spacing w:line="240" w:lineRule="auto"/>
              <w:jc w:val="center"/>
              <w:rPr>
                <w:sz w:val="19"/>
                <w:szCs w:val="19"/>
              </w:rPr>
            </w:pPr>
            <w:r w:rsidRPr="008C6292">
              <w:rPr>
                <w:sz w:val="19"/>
                <w:szCs w:val="19"/>
              </w:rPr>
              <w:t>(-1.7993)</w:t>
            </w:r>
          </w:p>
        </w:tc>
        <w:tc>
          <w:tcPr>
            <w:tcW w:w="0" w:type="auto"/>
            <w:tcBorders>
              <w:top w:val="nil"/>
              <w:left w:val="nil"/>
              <w:bottom w:val="nil"/>
              <w:right w:val="nil"/>
            </w:tcBorders>
            <w:shd w:val="clear" w:color="auto" w:fill="auto"/>
            <w:noWrap/>
            <w:vAlign w:val="center"/>
            <w:hideMark/>
          </w:tcPr>
          <w:p w14:paraId="56F3AB0F" w14:textId="77777777" w:rsidR="0065555D" w:rsidRPr="008C6292" w:rsidRDefault="0065555D" w:rsidP="007049D5">
            <w:pPr>
              <w:spacing w:line="240" w:lineRule="auto"/>
              <w:jc w:val="center"/>
              <w:rPr>
                <w:sz w:val="19"/>
                <w:szCs w:val="19"/>
              </w:rPr>
            </w:pPr>
          </w:p>
        </w:tc>
        <w:tc>
          <w:tcPr>
            <w:tcW w:w="0" w:type="auto"/>
            <w:tcBorders>
              <w:top w:val="nil"/>
              <w:left w:val="nil"/>
              <w:bottom w:val="nil"/>
              <w:right w:val="nil"/>
            </w:tcBorders>
            <w:shd w:val="clear" w:color="auto" w:fill="auto"/>
            <w:noWrap/>
            <w:vAlign w:val="center"/>
            <w:hideMark/>
          </w:tcPr>
          <w:p w14:paraId="5CF6488C" w14:textId="77777777" w:rsidR="0065555D" w:rsidRPr="008C6292" w:rsidRDefault="0065555D" w:rsidP="007049D5">
            <w:pPr>
              <w:spacing w:line="240" w:lineRule="auto"/>
              <w:jc w:val="center"/>
              <w:rPr>
                <w:sz w:val="19"/>
                <w:szCs w:val="19"/>
              </w:rPr>
            </w:pPr>
          </w:p>
        </w:tc>
      </w:tr>
      <w:tr w:rsidR="0065555D" w:rsidRPr="008C6292" w14:paraId="220CE488"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059B2341" w14:textId="77777777" w:rsidR="0065555D" w:rsidRPr="008C6292" w:rsidRDefault="0065555D" w:rsidP="007049D5">
            <w:pPr>
              <w:spacing w:after="0" w:line="240" w:lineRule="auto"/>
              <w:jc w:val="left"/>
              <w:rPr>
                <w:rFonts w:eastAsia="Times New Roman" w:cs="Times New Roman"/>
                <w:color w:val="000000"/>
                <w:sz w:val="19"/>
                <w:szCs w:val="19"/>
              </w:rPr>
            </w:pPr>
            <w:r w:rsidRPr="008C6292">
              <w:rPr>
                <w:rFonts w:eastAsia="Times New Roman" w:cs="Times New Roman"/>
                <w:color w:val="000000"/>
                <w:sz w:val="19"/>
                <w:szCs w:val="19"/>
              </w:rPr>
              <w:t>D(L1 Category 5) × D(L1 Rollover)</w:t>
            </w:r>
          </w:p>
        </w:tc>
        <w:tc>
          <w:tcPr>
            <w:tcW w:w="0" w:type="auto"/>
            <w:tcBorders>
              <w:top w:val="nil"/>
              <w:left w:val="nil"/>
              <w:bottom w:val="nil"/>
              <w:right w:val="nil"/>
            </w:tcBorders>
            <w:shd w:val="clear" w:color="auto" w:fill="auto"/>
            <w:noWrap/>
            <w:vAlign w:val="center"/>
          </w:tcPr>
          <w:p w14:paraId="2BA42132" w14:textId="77777777" w:rsidR="0065555D" w:rsidRPr="008C6292" w:rsidRDefault="0065555D" w:rsidP="007049D5">
            <w:pPr>
              <w:spacing w:line="240" w:lineRule="auto"/>
              <w:jc w:val="center"/>
              <w:rPr>
                <w:sz w:val="19"/>
                <w:szCs w:val="19"/>
              </w:rPr>
            </w:pPr>
            <w:r w:rsidRPr="008C6292">
              <w:rPr>
                <w:sz w:val="19"/>
                <w:szCs w:val="19"/>
              </w:rPr>
              <w:t>0.0560</w:t>
            </w:r>
          </w:p>
        </w:tc>
        <w:tc>
          <w:tcPr>
            <w:tcW w:w="0" w:type="auto"/>
            <w:tcBorders>
              <w:top w:val="nil"/>
              <w:left w:val="nil"/>
              <w:bottom w:val="nil"/>
              <w:right w:val="nil"/>
            </w:tcBorders>
            <w:shd w:val="clear" w:color="auto" w:fill="auto"/>
            <w:noWrap/>
            <w:vAlign w:val="center"/>
          </w:tcPr>
          <w:p w14:paraId="529A57ED" w14:textId="77777777" w:rsidR="0065555D" w:rsidRPr="008C6292" w:rsidRDefault="0065555D" w:rsidP="007049D5">
            <w:pPr>
              <w:spacing w:line="240" w:lineRule="auto"/>
              <w:jc w:val="center"/>
              <w:rPr>
                <w:sz w:val="19"/>
                <w:szCs w:val="19"/>
              </w:rPr>
            </w:pPr>
            <w:r w:rsidRPr="008C6292">
              <w:rPr>
                <w:sz w:val="19"/>
                <w:szCs w:val="19"/>
              </w:rPr>
              <w:t>(1.4516)</w:t>
            </w:r>
          </w:p>
        </w:tc>
        <w:tc>
          <w:tcPr>
            <w:tcW w:w="0" w:type="auto"/>
            <w:tcBorders>
              <w:top w:val="nil"/>
              <w:left w:val="nil"/>
              <w:bottom w:val="nil"/>
              <w:right w:val="nil"/>
            </w:tcBorders>
            <w:shd w:val="clear" w:color="auto" w:fill="auto"/>
            <w:noWrap/>
            <w:vAlign w:val="center"/>
            <w:hideMark/>
          </w:tcPr>
          <w:p w14:paraId="062BF3FF" w14:textId="77777777" w:rsidR="0065555D" w:rsidRPr="008C6292" w:rsidRDefault="0065555D" w:rsidP="007049D5">
            <w:pPr>
              <w:spacing w:line="240" w:lineRule="auto"/>
              <w:jc w:val="center"/>
              <w:rPr>
                <w:sz w:val="19"/>
                <w:szCs w:val="19"/>
              </w:rPr>
            </w:pPr>
          </w:p>
        </w:tc>
        <w:tc>
          <w:tcPr>
            <w:tcW w:w="0" w:type="auto"/>
            <w:tcBorders>
              <w:top w:val="nil"/>
              <w:left w:val="nil"/>
              <w:bottom w:val="nil"/>
              <w:right w:val="nil"/>
            </w:tcBorders>
            <w:shd w:val="clear" w:color="auto" w:fill="auto"/>
            <w:noWrap/>
            <w:vAlign w:val="center"/>
            <w:hideMark/>
          </w:tcPr>
          <w:p w14:paraId="5F3C2965" w14:textId="77777777" w:rsidR="0065555D" w:rsidRPr="008C6292" w:rsidRDefault="0065555D" w:rsidP="007049D5">
            <w:pPr>
              <w:spacing w:line="240" w:lineRule="auto"/>
              <w:jc w:val="center"/>
              <w:rPr>
                <w:sz w:val="19"/>
                <w:szCs w:val="19"/>
              </w:rPr>
            </w:pPr>
          </w:p>
        </w:tc>
      </w:tr>
      <w:tr w:rsidR="0065555D" w:rsidRPr="008C6292" w14:paraId="3D3994B5"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63A7EAE7" w14:textId="77777777" w:rsidR="0065555D" w:rsidRPr="008C6292" w:rsidRDefault="0065555D" w:rsidP="007049D5">
            <w:pPr>
              <w:spacing w:after="0" w:line="240" w:lineRule="auto"/>
              <w:jc w:val="left"/>
              <w:rPr>
                <w:rFonts w:eastAsia="Times New Roman" w:cs="Times New Roman"/>
                <w:color w:val="000000"/>
                <w:sz w:val="19"/>
                <w:szCs w:val="19"/>
              </w:rPr>
            </w:pPr>
            <w:r w:rsidRPr="008C6292">
              <w:rPr>
                <w:rFonts w:eastAsia="Times New Roman" w:cs="Times New Roman"/>
                <w:color w:val="000000"/>
                <w:sz w:val="19"/>
                <w:szCs w:val="19"/>
              </w:rPr>
              <w:t>D(L1 Category 6) × D(L1 Rollover)</w:t>
            </w:r>
          </w:p>
        </w:tc>
        <w:tc>
          <w:tcPr>
            <w:tcW w:w="0" w:type="auto"/>
            <w:tcBorders>
              <w:top w:val="nil"/>
              <w:left w:val="nil"/>
              <w:bottom w:val="nil"/>
              <w:right w:val="nil"/>
            </w:tcBorders>
            <w:shd w:val="clear" w:color="auto" w:fill="auto"/>
            <w:noWrap/>
            <w:vAlign w:val="center"/>
          </w:tcPr>
          <w:p w14:paraId="3BEB9448" w14:textId="77777777" w:rsidR="0065555D" w:rsidRPr="008C6292" w:rsidRDefault="0065555D" w:rsidP="007049D5">
            <w:pPr>
              <w:spacing w:line="240" w:lineRule="auto"/>
              <w:jc w:val="center"/>
              <w:rPr>
                <w:sz w:val="19"/>
                <w:szCs w:val="19"/>
              </w:rPr>
            </w:pPr>
            <w:r w:rsidRPr="008C6292">
              <w:rPr>
                <w:sz w:val="19"/>
                <w:szCs w:val="19"/>
              </w:rPr>
              <w:t>0.0134</w:t>
            </w:r>
          </w:p>
        </w:tc>
        <w:tc>
          <w:tcPr>
            <w:tcW w:w="0" w:type="auto"/>
            <w:tcBorders>
              <w:top w:val="nil"/>
              <w:left w:val="nil"/>
              <w:bottom w:val="nil"/>
              <w:right w:val="nil"/>
            </w:tcBorders>
            <w:shd w:val="clear" w:color="auto" w:fill="auto"/>
            <w:noWrap/>
            <w:vAlign w:val="center"/>
          </w:tcPr>
          <w:p w14:paraId="57A46B5E" w14:textId="77777777" w:rsidR="0065555D" w:rsidRPr="008C6292" w:rsidRDefault="0065555D" w:rsidP="007049D5">
            <w:pPr>
              <w:spacing w:line="240" w:lineRule="auto"/>
              <w:jc w:val="center"/>
              <w:rPr>
                <w:sz w:val="19"/>
                <w:szCs w:val="19"/>
              </w:rPr>
            </w:pPr>
            <w:r w:rsidRPr="008C6292">
              <w:rPr>
                <w:sz w:val="19"/>
                <w:szCs w:val="19"/>
              </w:rPr>
              <w:t>(0.5897)</w:t>
            </w:r>
          </w:p>
        </w:tc>
        <w:tc>
          <w:tcPr>
            <w:tcW w:w="0" w:type="auto"/>
            <w:tcBorders>
              <w:top w:val="nil"/>
              <w:left w:val="nil"/>
              <w:bottom w:val="nil"/>
              <w:right w:val="nil"/>
            </w:tcBorders>
            <w:shd w:val="clear" w:color="auto" w:fill="auto"/>
            <w:noWrap/>
            <w:vAlign w:val="center"/>
            <w:hideMark/>
          </w:tcPr>
          <w:p w14:paraId="59B7CD7D" w14:textId="77777777" w:rsidR="0065555D" w:rsidRPr="008C6292" w:rsidRDefault="0065555D" w:rsidP="007049D5">
            <w:pPr>
              <w:spacing w:line="240" w:lineRule="auto"/>
              <w:jc w:val="center"/>
              <w:rPr>
                <w:sz w:val="19"/>
                <w:szCs w:val="19"/>
              </w:rPr>
            </w:pPr>
          </w:p>
        </w:tc>
        <w:tc>
          <w:tcPr>
            <w:tcW w:w="0" w:type="auto"/>
            <w:tcBorders>
              <w:top w:val="nil"/>
              <w:left w:val="nil"/>
              <w:bottom w:val="nil"/>
              <w:right w:val="nil"/>
            </w:tcBorders>
            <w:shd w:val="clear" w:color="auto" w:fill="auto"/>
            <w:noWrap/>
            <w:vAlign w:val="center"/>
            <w:hideMark/>
          </w:tcPr>
          <w:p w14:paraId="7B53142A" w14:textId="77777777" w:rsidR="0065555D" w:rsidRPr="008C6292" w:rsidRDefault="0065555D" w:rsidP="007049D5">
            <w:pPr>
              <w:spacing w:line="240" w:lineRule="auto"/>
              <w:jc w:val="center"/>
              <w:rPr>
                <w:sz w:val="19"/>
                <w:szCs w:val="19"/>
              </w:rPr>
            </w:pPr>
          </w:p>
        </w:tc>
      </w:tr>
      <w:tr w:rsidR="0065555D" w:rsidRPr="008C6292" w14:paraId="6B62B87C"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650AAA8F" w14:textId="77777777" w:rsidR="0065555D" w:rsidRPr="008C6292" w:rsidRDefault="0065555D" w:rsidP="007049D5">
            <w:pPr>
              <w:spacing w:after="0" w:line="240" w:lineRule="auto"/>
              <w:jc w:val="left"/>
              <w:rPr>
                <w:rFonts w:eastAsia="Times New Roman" w:cs="Times New Roman"/>
                <w:sz w:val="19"/>
                <w:szCs w:val="19"/>
              </w:rPr>
            </w:pPr>
            <w:r w:rsidRPr="008C6292">
              <w:rPr>
                <w:rFonts w:eastAsia="Times New Roman" w:cs="Times New Roman"/>
                <w:sz w:val="19"/>
                <w:szCs w:val="19"/>
              </w:rPr>
              <w:t>D(HHI quantile=1)</w:t>
            </w:r>
          </w:p>
        </w:tc>
        <w:tc>
          <w:tcPr>
            <w:tcW w:w="0" w:type="auto"/>
            <w:tcBorders>
              <w:top w:val="nil"/>
              <w:left w:val="nil"/>
              <w:bottom w:val="nil"/>
              <w:right w:val="nil"/>
            </w:tcBorders>
            <w:shd w:val="clear" w:color="auto" w:fill="auto"/>
            <w:noWrap/>
            <w:vAlign w:val="center"/>
            <w:hideMark/>
          </w:tcPr>
          <w:p w14:paraId="653E22BD" w14:textId="77777777" w:rsidR="0065555D" w:rsidRPr="008C6292" w:rsidRDefault="0065555D" w:rsidP="007049D5">
            <w:pPr>
              <w:spacing w:line="240" w:lineRule="auto"/>
              <w:jc w:val="center"/>
              <w:rPr>
                <w:sz w:val="19"/>
                <w:szCs w:val="19"/>
              </w:rPr>
            </w:pPr>
          </w:p>
        </w:tc>
        <w:tc>
          <w:tcPr>
            <w:tcW w:w="0" w:type="auto"/>
            <w:tcBorders>
              <w:top w:val="nil"/>
              <w:left w:val="nil"/>
              <w:bottom w:val="nil"/>
              <w:right w:val="nil"/>
            </w:tcBorders>
            <w:shd w:val="clear" w:color="auto" w:fill="auto"/>
            <w:noWrap/>
            <w:vAlign w:val="center"/>
            <w:hideMark/>
          </w:tcPr>
          <w:p w14:paraId="1BC790FE" w14:textId="77777777" w:rsidR="0065555D" w:rsidRPr="008C6292" w:rsidRDefault="0065555D" w:rsidP="007049D5">
            <w:pPr>
              <w:spacing w:line="240" w:lineRule="auto"/>
              <w:jc w:val="center"/>
              <w:rPr>
                <w:sz w:val="19"/>
                <w:szCs w:val="19"/>
              </w:rPr>
            </w:pPr>
          </w:p>
        </w:tc>
        <w:tc>
          <w:tcPr>
            <w:tcW w:w="0" w:type="auto"/>
            <w:tcBorders>
              <w:top w:val="nil"/>
              <w:left w:val="nil"/>
              <w:bottom w:val="nil"/>
              <w:right w:val="nil"/>
            </w:tcBorders>
            <w:shd w:val="clear" w:color="auto" w:fill="auto"/>
            <w:noWrap/>
            <w:vAlign w:val="center"/>
          </w:tcPr>
          <w:p w14:paraId="52121C11" w14:textId="77777777" w:rsidR="0065555D" w:rsidRPr="008C6292" w:rsidRDefault="0065555D" w:rsidP="007049D5">
            <w:pPr>
              <w:spacing w:line="240" w:lineRule="auto"/>
              <w:jc w:val="center"/>
              <w:rPr>
                <w:sz w:val="19"/>
                <w:szCs w:val="19"/>
              </w:rPr>
            </w:pPr>
            <w:r w:rsidRPr="008C6292">
              <w:rPr>
                <w:sz w:val="19"/>
                <w:szCs w:val="19"/>
              </w:rPr>
              <w:t>0.0708</w:t>
            </w:r>
          </w:p>
        </w:tc>
        <w:tc>
          <w:tcPr>
            <w:tcW w:w="0" w:type="auto"/>
            <w:tcBorders>
              <w:top w:val="nil"/>
              <w:left w:val="nil"/>
              <w:bottom w:val="nil"/>
              <w:right w:val="nil"/>
            </w:tcBorders>
            <w:shd w:val="clear" w:color="auto" w:fill="auto"/>
            <w:noWrap/>
            <w:vAlign w:val="center"/>
          </w:tcPr>
          <w:p w14:paraId="1BCB9012" w14:textId="77777777" w:rsidR="0065555D" w:rsidRPr="008C6292" w:rsidRDefault="0065555D" w:rsidP="007049D5">
            <w:pPr>
              <w:spacing w:line="240" w:lineRule="auto"/>
              <w:jc w:val="center"/>
              <w:rPr>
                <w:sz w:val="19"/>
                <w:szCs w:val="19"/>
              </w:rPr>
            </w:pPr>
            <w:r w:rsidRPr="008C6292">
              <w:rPr>
                <w:sz w:val="19"/>
                <w:szCs w:val="19"/>
              </w:rPr>
              <w:t>(2.4352)</w:t>
            </w:r>
          </w:p>
        </w:tc>
      </w:tr>
      <w:tr w:rsidR="0065555D" w:rsidRPr="008C6292" w14:paraId="00BBAB1B"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454C64DB" w14:textId="77777777" w:rsidR="0065555D" w:rsidRPr="008C6292" w:rsidRDefault="0065555D" w:rsidP="007049D5">
            <w:pPr>
              <w:spacing w:after="0" w:line="240" w:lineRule="auto"/>
              <w:jc w:val="left"/>
              <w:rPr>
                <w:rFonts w:eastAsia="Times New Roman" w:cs="Times New Roman"/>
                <w:sz w:val="19"/>
                <w:szCs w:val="19"/>
              </w:rPr>
            </w:pPr>
            <w:r w:rsidRPr="008C6292">
              <w:rPr>
                <w:rFonts w:eastAsia="Times New Roman" w:cs="Times New Roman"/>
                <w:sz w:val="19"/>
                <w:szCs w:val="19"/>
              </w:rPr>
              <w:t>D(HHI quantile=1)</w:t>
            </w:r>
            <w:r w:rsidRPr="008C6292">
              <w:rPr>
                <w:rFonts w:eastAsia="Times New Roman" w:cs="Times New Roman"/>
                <w:color w:val="000000"/>
                <w:sz w:val="19"/>
                <w:szCs w:val="19"/>
              </w:rPr>
              <w:t xml:space="preserve"> × D(L1 Rollover)</w:t>
            </w:r>
          </w:p>
        </w:tc>
        <w:tc>
          <w:tcPr>
            <w:tcW w:w="0" w:type="auto"/>
            <w:tcBorders>
              <w:top w:val="nil"/>
              <w:left w:val="nil"/>
              <w:bottom w:val="nil"/>
              <w:right w:val="nil"/>
            </w:tcBorders>
            <w:shd w:val="clear" w:color="auto" w:fill="auto"/>
            <w:noWrap/>
            <w:vAlign w:val="center"/>
            <w:hideMark/>
          </w:tcPr>
          <w:p w14:paraId="1EC6107C" w14:textId="77777777" w:rsidR="0065555D" w:rsidRPr="008C6292" w:rsidRDefault="0065555D" w:rsidP="007049D5">
            <w:pPr>
              <w:spacing w:line="240" w:lineRule="auto"/>
              <w:jc w:val="center"/>
              <w:rPr>
                <w:sz w:val="19"/>
                <w:szCs w:val="19"/>
              </w:rPr>
            </w:pPr>
          </w:p>
        </w:tc>
        <w:tc>
          <w:tcPr>
            <w:tcW w:w="0" w:type="auto"/>
            <w:tcBorders>
              <w:top w:val="nil"/>
              <w:left w:val="nil"/>
              <w:bottom w:val="nil"/>
              <w:right w:val="nil"/>
            </w:tcBorders>
            <w:shd w:val="clear" w:color="auto" w:fill="auto"/>
            <w:noWrap/>
            <w:vAlign w:val="center"/>
            <w:hideMark/>
          </w:tcPr>
          <w:p w14:paraId="2F73203E" w14:textId="77777777" w:rsidR="0065555D" w:rsidRPr="008C6292" w:rsidRDefault="0065555D" w:rsidP="007049D5">
            <w:pPr>
              <w:spacing w:line="240" w:lineRule="auto"/>
              <w:jc w:val="center"/>
              <w:rPr>
                <w:sz w:val="19"/>
                <w:szCs w:val="19"/>
              </w:rPr>
            </w:pPr>
          </w:p>
        </w:tc>
        <w:tc>
          <w:tcPr>
            <w:tcW w:w="0" w:type="auto"/>
            <w:tcBorders>
              <w:top w:val="nil"/>
              <w:left w:val="nil"/>
              <w:bottom w:val="nil"/>
              <w:right w:val="nil"/>
            </w:tcBorders>
            <w:shd w:val="clear" w:color="auto" w:fill="auto"/>
            <w:noWrap/>
            <w:vAlign w:val="center"/>
          </w:tcPr>
          <w:p w14:paraId="6EA8B107" w14:textId="77777777" w:rsidR="0065555D" w:rsidRPr="008C6292" w:rsidRDefault="0065555D" w:rsidP="007049D5">
            <w:pPr>
              <w:spacing w:line="240" w:lineRule="auto"/>
              <w:jc w:val="center"/>
              <w:rPr>
                <w:sz w:val="19"/>
                <w:szCs w:val="19"/>
              </w:rPr>
            </w:pPr>
            <w:r w:rsidRPr="008C6292">
              <w:rPr>
                <w:sz w:val="19"/>
                <w:szCs w:val="19"/>
              </w:rPr>
              <w:t>-0.0158</w:t>
            </w:r>
          </w:p>
        </w:tc>
        <w:tc>
          <w:tcPr>
            <w:tcW w:w="0" w:type="auto"/>
            <w:tcBorders>
              <w:top w:val="nil"/>
              <w:left w:val="nil"/>
              <w:bottom w:val="nil"/>
              <w:right w:val="nil"/>
            </w:tcBorders>
            <w:shd w:val="clear" w:color="auto" w:fill="auto"/>
            <w:noWrap/>
            <w:vAlign w:val="center"/>
          </w:tcPr>
          <w:p w14:paraId="589C56D2" w14:textId="77777777" w:rsidR="0065555D" w:rsidRPr="008C6292" w:rsidRDefault="0065555D" w:rsidP="007049D5">
            <w:pPr>
              <w:spacing w:line="240" w:lineRule="auto"/>
              <w:jc w:val="center"/>
              <w:rPr>
                <w:sz w:val="19"/>
                <w:szCs w:val="19"/>
              </w:rPr>
            </w:pPr>
            <w:r w:rsidRPr="008C6292">
              <w:rPr>
                <w:sz w:val="19"/>
                <w:szCs w:val="19"/>
              </w:rPr>
              <w:t>(-0.6138)</w:t>
            </w:r>
          </w:p>
        </w:tc>
      </w:tr>
      <w:tr w:rsidR="0065555D" w:rsidRPr="008C6292" w14:paraId="5E2E1218"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3A9FE51A" w14:textId="77777777" w:rsidR="0065555D" w:rsidRPr="008C6292" w:rsidRDefault="0065555D" w:rsidP="007049D5">
            <w:pPr>
              <w:spacing w:after="0" w:line="240" w:lineRule="auto"/>
              <w:jc w:val="left"/>
              <w:rPr>
                <w:rFonts w:eastAsia="Times New Roman" w:cs="Times New Roman"/>
                <w:sz w:val="19"/>
                <w:szCs w:val="19"/>
              </w:rPr>
            </w:pPr>
            <w:r w:rsidRPr="008C6292">
              <w:rPr>
                <w:rFonts w:eastAsia="Times New Roman" w:cs="Times New Roman"/>
                <w:sz w:val="19"/>
                <w:szCs w:val="19"/>
              </w:rPr>
              <w:t>D(HHI quantile=2)</w:t>
            </w:r>
          </w:p>
        </w:tc>
        <w:tc>
          <w:tcPr>
            <w:tcW w:w="0" w:type="auto"/>
            <w:tcBorders>
              <w:top w:val="nil"/>
              <w:left w:val="nil"/>
              <w:bottom w:val="nil"/>
              <w:right w:val="nil"/>
            </w:tcBorders>
            <w:shd w:val="clear" w:color="auto" w:fill="auto"/>
            <w:noWrap/>
            <w:vAlign w:val="center"/>
            <w:hideMark/>
          </w:tcPr>
          <w:p w14:paraId="2324FC6D" w14:textId="77777777" w:rsidR="0065555D" w:rsidRPr="008C6292" w:rsidRDefault="0065555D" w:rsidP="007049D5">
            <w:pPr>
              <w:spacing w:line="240" w:lineRule="auto"/>
              <w:jc w:val="center"/>
              <w:rPr>
                <w:sz w:val="19"/>
                <w:szCs w:val="19"/>
              </w:rPr>
            </w:pPr>
          </w:p>
        </w:tc>
        <w:tc>
          <w:tcPr>
            <w:tcW w:w="0" w:type="auto"/>
            <w:tcBorders>
              <w:top w:val="nil"/>
              <w:left w:val="nil"/>
              <w:bottom w:val="nil"/>
              <w:right w:val="nil"/>
            </w:tcBorders>
            <w:shd w:val="clear" w:color="auto" w:fill="auto"/>
            <w:noWrap/>
            <w:vAlign w:val="center"/>
            <w:hideMark/>
          </w:tcPr>
          <w:p w14:paraId="5CF4A8B4" w14:textId="77777777" w:rsidR="0065555D" w:rsidRPr="008C6292" w:rsidRDefault="0065555D" w:rsidP="007049D5">
            <w:pPr>
              <w:spacing w:line="240" w:lineRule="auto"/>
              <w:jc w:val="center"/>
              <w:rPr>
                <w:sz w:val="19"/>
                <w:szCs w:val="19"/>
              </w:rPr>
            </w:pPr>
          </w:p>
        </w:tc>
        <w:tc>
          <w:tcPr>
            <w:tcW w:w="0" w:type="auto"/>
            <w:tcBorders>
              <w:top w:val="nil"/>
              <w:left w:val="nil"/>
              <w:bottom w:val="nil"/>
              <w:right w:val="nil"/>
            </w:tcBorders>
            <w:shd w:val="clear" w:color="auto" w:fill="auto"/>
            <w:noWrap/>
            <w:vAlign w:val="center"/>
          </w:tcPr>
          <w:p w14:paraId="30F8E9B1" w14:textId="77777777" w:rsidR="0065555D" w:rsidRPr="008C6292" w:rsidRDefault="0065555D" w:rsidP="007049D5">
            <w:pPr>
              <w:spacing w:line="240" w:lineRule="auto"/>
              <w:jc w:val="center"/>
              <w:rPr>
                <w:sz w:val="19"/>
                <w:szCs w:val="19"/>
              </w:rPr>
            </w:pPr>
            <w:r w:rsidRPr="008C6292">
              <w:rPr>
                <w:sz w:val="19"/>
                <w:szCs w:val="19"/>
              </w:rPr>
              <w:t>0.0089</w:t>
            </w:r>
          </w:p>
        </w:tc>
        <w:tc>
          <w:tcPr>
            <w:tcW w:w="0" w:type="auto"/>
            <w:tcBorders>
              <w:top w:val="nil"/>
              <w:left w:val="nil"/>
              <w:bottom w:val="nil"/>
              <w:right w:val="nil"/>
            </w:tcBorders>
            <w:shd w:val="clear" w:color="auto" w:fill="auto"/>
            <w:noWrap/>
            <w:vAlign w:val="center"/>
          </w:tcPr>
          <w:p w14:paraId="5829FF25" w14:textId="77777777" w:rsidR="0065555D" w:rsidRPr="008C6292" w:rsidRDefault="0065555D" w:rsidP="007049D5">
            <w:pPr>
              <w:spacing w:line="240" w:lineRule="auto"/>
              <w:jc w:val="center"/>
              <w:rPr>
                <w:sz w:val="19"/>
                <w:szCs w:val="19"/>
              </w:rPr>
            </w:pPr>
            <w:r w:rsidRPr="008C6292">
              <w:rPr>
                <w:sz w:val="19"/>
                <w:szCs w:val="19"/>
              </w:rPr>
              <w:t>(0.4622)</w:t>
            </w:r>
          </w:p>
        </w:tc>
      </w:tr>
      <w:tr w:rsidR="0065555D" w:rsidRPr="008C6292" w14:paraId="6E12AB82"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287912E3" w14:textId="77777777" w:rsidR="0065555D" w:rsidRPr="008C6292" w:rsidRDefault="0065555D" w:rsidP="007049D5">
            <w:pPr>
              <w:spacing w:after="0" w:line="240" w:lineRule="auto"/>
              <w:jc w:val="left"/>
              <w:rPr>
                <w:rFonts w:eastAsia="Times New Roman" w:cs="Times New Roman"/>
                <w:sz w:val="19"/>
                <w:szCs w:val="19"/>
              </w:rPr>
            </w:pPr>
            <w:r w:rsidRPr="008C6292">
              <w:rPr>
                <w:rFonts w:eastAsia="Times New Roman" w:cs="Times New Roman"/>
                <w:sz w:val="19"/>
                <w:szCs w:val="19"/>
              </w:rPr>
              <w:t>D(HHI quantile=2)</w:t>
            </w:r>
            <w:r w:rsidRPr="008C6292">
              <w:rPr>
                <w:rFonts w:eastAsia="Times New Roman" w:cs="Times New Roman"/>
                <w:color w:val="000000"/>
                <w:sz w:val="19"/>
                <w:szCs w:val="19"/>
              </w:rPr>
              <w:t xml:space="preserve"> × D(L1 Rollover)</w:t>
            </w:r>
          </w:p>
        </w:tc>
        <w:tc>
          <w:tcPr>
            <w:tcW w:w="0" w:type="auto"/>
            <w:tcBorders>
              <w:top w:val="nil"/>
              <w:left w:val="nil"/>
              <w:bottom w:val="nil"/>
              <w:right w:val="nil"/>
            </w:tcBorders>
            <w:shd w:val="clear" w:color="auto" w:fill="auto"/>
            <w:noWrap/>
            <w:vAlign w:val="center"/>
            <w:hideMark/>
          </w:tcPr>
          <w:p w14:paraId="47D66515" w14:textId="77777777" w:rsidR="0065555D" w:rsidRPr="008C6292" w:rsidRDefault="0065555D" w:rsidP="007049D5">
            <w:pPr>
              <w:spacing w:line="240" w:lineRule="auto"/>
              <w:jc w:val="center"/>
              <w:rPr>
                <w:sz w:val="19"/>
                <w:szCs w:val="19"/>
              </w:rPr>
            </w:pPr>
          </w:p>
        </w:tc>
        <w:tc>
          <w:tcPr>
            <w:tcW w:w="0" w:type="auto"/>
            <w:tcBorders>
              <w:top w:val="nil"/>
              <w:left w:val="nil"/>
              <w:bottom w:val="nil"/>
              <w:right w:val="nil"/>
            </w:tcBorders>
            <w:shd w:val="clear" w:color="auto" w:fill="auto"/>
            <w:noWrap/>
            <w:vAlign w:val="center"/>
            <w:hideMark/>
          </w:tcPr>
          <w:p w14:paraId="06F0AF93" w14:textId="77777777" w:rsidR="0065555D" w:rsidRPr="008C6292" w:rsidRDefault="0065555D" w:rsidP="007049D5">
            <w:pPr>
              <w:spacing w:line="240" w:lineRule="auto"/>
              <w:jc w:val="center"/>
              <w:rPr>
                <w:sz w:val="19"/>
                <w:szCs w:val="19"/>
              </w:rPr>
            </w:pPr>
          </w:p>
        </w:tc>
        <w:tc>
          <w:tcPr>
            <w:tcW w:w="0" w:type="auto"/>
            <w:tcBorders>
              <w:top w:val="nil"/>
              <w:left w:val="nil"/>
              <w:bottom w:val="nil"/>
              <w:right w:val="nil"/>
            </w:tcBorders>
            <w:shd w:val="clear" w:color="auto" w:fill="auto"/>
            <w:noWrap/>
            <w:vAlign w:val="center"/>
          </w:tcPr>
          <w:p w14:paraId="5A8C3ED1" w14:textId="77777777" w:rsidR="0065555D" w:rsidRPr="008C6292" w:rsidRDefault="0065555D" w:rsidP="007049D5">
            <w:pPr>
              <w:spacing w:line="240" w:lineRule="auto"/>
              <w:jc w:val="center"/>
              <w:rPr>
                <w:sz w:val="19"/>
                <w:szCs w:val="19"/>
              </w:rPr>
            </w:pPr>
            <w:r w:rsidRPr="008C6292">
              <w:rPr>
                <w:sz w:val="19"/>
                <w:szCs w:val="19"/>
              </w:rPr>
              <w:t>0.0156</w:t>
            </w:r>
          </w:p>
        </w:tc>
        <w:tc>
          <w:tcPr>
            <w:tcW w:w="0" w:type="auto"/>
            <w:tcBorders>
              <w:top w:val="nil"/>
              <w:left w:val="nil"/>
              <w:bottom w:val="nil"/>
              <w:right w:val="nil"/>
            </w:tcBorders>
            <w:shd w:val="clear" w:color="auto" w:fill="auto"/>
            <w:noWrap/>
            <w:vAlign w:val="center"/>
          </w:tcPr>
          <w:p w14:paraId="5152BC67" w14:textId="77777777" w:rsidR="0065555D" w:rsidRPr="008C6292" w:rsidRDefault="0065555D" w:rsidP="007049D5">
            <w:pPr>
              <w:spacing w:line="240" w:lineRule="auto"/>
              <w:jc w:val="center"/>
              <w:rPr>
                <w:sz w:val="19"/>
                <w:szCs w:val="19"/>
              </w:rPr>
            </w:pPr>
            <w:r w:rsidRPr="008C6292">
              <w:rPr>
                <w:sz w:val="19"/>
                <w:szCs w:val="19"/>
              </w:rPr>
              <w:t>(0.9941)</w:t>
            </w:r>
          </w:p>
        </w:tc>
      </w:tr>
      <w:tr w:rsidR="0065555D" w:rsidRPr="008C6292" w14:paraId="79E9E0CD"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5D4A903D" w14:textId="77777777" w:rsidR="0065555D" w:rsidRPr="008C6292" w:rsidRDefault="0065555D" w:rsidP="007049D5">
            <w:pPr>
              <w:spacing w:after="0" w:line="240" w:lineRule="auto"/>
              <w:jc w:val="left"/>
              <w:rPr>
                <w:rFonts w:eastAsia="Times New Roman" w:cs="Times New Roman"/>
                <w:sz w:val="19"/>
                <w:szCs w:val="19"/>
              </w:rPr>
            </w:pPr>
            <w:r w:rsidRPr="008C6292">
              <w:rPr>
                <w:rFonts w:eastAsia="Times New Roman" w:cs="Times New Roman"/>
                <w:sz w:val="19"/>
                <w:szCs w:val="19"/>
              </w:rPr>
              <w:t>D(HHI quantile=3)</w:t>
            </w:r>
          </w:p>
        </w:tc>
        <w:tc>
          <w:tcPr>
            <w:tcW w:w="0" w:type="auto"/>
            <w:tcBorders>
              <w:top w:val="nil"/>
              <w:left w:val="nil"/>
              <w:bottom w:val="nil"/>
              <w:right w:val="nil"/>
            </w:tcBorders>
            <w:shd w:val="clear" w:color="auto" w:fill="auto"/>
            <w:noWrap/>
            <w:vAlign w:val="center"/>
            <w:hideMark/>
          </w:tcPr>
          <w:p w14:paraId="108C514D" w14:textId="77777777" w:rsidR="0065555D" w:rsidRPr="008C6292" w:rsidRDefault="0065555D" w:rsidP="007049D5">
            <w:pPr>
              <w:spacing w:line="240" w:lineRule="auto"/>
              <w:jc w:val="center"/>
              <w:rPr>
                <w:sz w:val="19"/>
                <w:szCs w:val="19"/>
              </w:rPr>
            </w:pPr>
          </w:p>
        </w:tc>
        <w:tc>
          <w:tcPr>
            <w:tcW w:w="0" w:type="auto"/>
            <w:tcBorders>
              <w:top w:val="nil"/>
              <w:left w:val="nil"/>
              <w:bottom w:val="nil"/>
              <w:right w:val="nil"/>
            </w:tcBorders>
            <w:shd w:val="clear" w:color="auto" w:fill="auto"/>
            <w:noWrap/>
            <w:vAlign w:val="center"/>
            <w:hideMark/>
          </w:tcPr>
          <w:p w14:paraId="7217A1FB" w14:textId="77777777" w:rsidR="0065555D" w:rsidRPr="008C6292" w:rsidRDefault="0065555D" w:rsidP="007049D5">
            <w:pPr>
              <w:spacing w:line="240" w:lineRule="auto"/>
              <w:jc w:val="center"/>
              <w:rPr>
                <w:sz w:val="19"/>
                <w:szCs w:val="19"/>
              </w:rPr>
            </w:pPr>
          </w:p>
        </w:tc>
        <w:tc>
          <w:tcPr>
            <w:tcW w:w="0" w:type="auto"/>
            <w:tcBorders>
              <w:top w:val="nil"/>
              <w:left w:val="nil"/>
              <w:bottom w:val="nil"/>
              <w:right w:val="nil"/>
            </w:tcBorders>
            <w:shd w:val="clear" w:color="auto" w:fill="auto"/>
            <w:noWrap/>
            <w:vAlign w:val="center"/>
          </w:tcPr>
          <w:p w14:paraId="0FADFE11" w14:textId="77777777" w:rsidR="0065555D" w:rsidRPr="008C6292" w:rsidRDefault="0065555D" w:rsidP="007049D5">
            <w:pPr>
              <w:spacing w:line="240" w:lineRule="auto"/>
              <w:jc w:val="center"/>
              <w:rPr>
                <w:sz w:val="19"/>
                <w:szCs w:val="19"/>
              </w:rPr>
            </w:pPr>
            <w:r w:rsidRPr="008C6292">
              <w:rPr>
                <w:sz w:val="19"/>
                <w:szCs w:val="19"/>
              </w:rPr>
              <w:t>0.0151</w:t>
            </w:r>
          </w:p>
        </w:tc>
        <w:tc>
          <w:tcPr>
            <w:tcW w:w="0" w:type="auto"/>
            <w:tcBorders>
              <w:top w:val="nil"/>
              <w:left w:val="nil"/>
              <w:bottom w:val="nil"/>
              <w:right w:val="nil"/>
            </w:tcBorders>
            <w:shd w:val="clear" w:color="auto" w:fill="auto"/>
            <w:noWrap/>
            <w:vAlign w:val="center"/>
          </w:tcPr>
          <w:p w14:paraId="20F88A99" w14:textId="77777777" w:rsidR="0065555D" w:rsidRPr="008C6292" w:rsidRDefault="0065555D" w:rsidP="007049D5">
            <w:pPr>
              <w:spacing w:line="240" w:lineRule="auto"/>
              <w:jc w:val="center"/>
              <w:rPr>
                <w:sz w:val="19"/>
                <w:szCs w:val="19"/>
              </w:rPr>
            </w:pPr>
            <w:r w:rsidRPr="008C6292">
              <w:rPr>
                <w:sz w:val="19"/>
                <w:szCs w:val="19"/>
              </w:rPr>
              <w:t>(0.8859)</w:t>
            </w:r>
          </w:p>
        </w:tc>
      </w:tr>
      <w:tr w:rsidR="0065555D" w:rsidRPr="008C6292" w14:paraId="0F4CCD0E"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1C6214C8" w14:textId="77777777" w:rsidR="0065555D" w:rsidRPr="008C6292" w:rsidRDefault="0065555D" w:rsidP="007049D5">
            <w:pPr>
              <w:spacing w:after="0" w:line="240" w:lineRule="auto"/>
              <w:jc w:val="left"/>
              <w:rPr>
                <w:rFonts w:eastAsia="Times New Roman" w:cs="Times New Roman"/>
                <w:sz w:val="19"/>
                <w:szCs w:val="19"/>
              </w:rPr>
            </w:pPr>
            <w:r w:rsidRPr="008C6292">
              <w:rPr>
                <w:rFonts w:eastAsia="Times New Roman" w:cs="Times New Roman"/>
                <w:sz w:val="19"/>
                <w:szCs w:val="19"/>
              </w:rPr>
              <w:t>D(HHI quantile=3)</w:t>
            </w:r>
            <w:r w:rsidRPr="008C6292">
              <w:rPr>
                <w:rFonts w:eastAsia="Times New Roman" w:cs="Times New Roman"/>
                <w:color w:val="000000"/>
                <w:sz w:val="19"/>
                <w:szCs w:val="19"/>
              </w:rPr>
              <w:t xml:space="preserve"> × D(L1 Rollover)</w:t>
            </w:r>
          </w:p>
        </w:tc>
        <w:tc>
          <w:tcPr>
            <w:tcW w:w="0" w:type="auto"/>
            <w:tcBorders>
              <w:top w:val="nil"/>
              <w:left w:val="nil"/>
              <w:bottom w:val="nil"/>
              <w:right w:val="nil"/>
            </w:tcBorders>
            <w:shd w:val="clear" w:color="auto" w:fill="auto"/>
            <w:noWrap/>
            <w:vAlign w:val="center"/>
            <w:hideMark/>
          </w:tcPr>
          <w:p w14:paraId="79C3FD51" w14:textId="77777777" w:rsidR="0065555D" w:rsidRPr="008C6292" w:rsidRDefault="0065555D" w:rsidP="007049D5">
            <w:pPr>
              <w:spacing w:line="240" w:lineRule="auto"/>
              <w:jc w:val="center"/>
              <w:rPr>
                <w:sz w:val="19"/>
                <w:szCs w:val="19"/>
              </w:rPr>
            </w:pPr>
          </w:p>
        </w:tc>
        <w:tc>
          <w:tcPr>
            <w:tcW w:w="0" w:type="auto"/>
            <w:tcBorders>
              <w:top w:val="nil"/>
              <w:left w:val="nil"/>
              <w:bottom w:val="nil"/>
              <w:right w:val="nil"/>
            </w:tcBorders>
            <w:shd w:val="clear" w:color="auto" w:fill="auto"/>
            <w:noWrap/>
            <w:vAlign w:val="center"/>
            <w:hideMark/>
          </w:tcPr>
          <w:p w14:paraId="6EDA0342" w14:textId="77777777" w:rsidR="0065555D" w:rsidRPr="008C6292" w:rsidRDefault="0065555D" w:rsidP="007049D5">
            <w:pPr>
              <w:spacing w:line="240" w:lineRule="auto"/>
              <w:jc w:val="center"/>
              <w:rPr>
                <w:sz w:val="19"/>
                <w:szCs w:val="19"/>
              </w:rPr>
            </w:pPr>
          </w:p>
        </w:tc>
        <w:tc>
          <w:tcPr>
            <w:tcW w:w="0" w:type="auto"/>
            <w:tcBorders>
              <w:top w:val="nil"/>
              <w:left w:val="nil"/>
              <w:bottom w:val="nil"/>
              <w:right w:val="nil"/>
            </w:tcBorders>
            <w:shd w:val="clear" w:color="auto" w:fill="auto"/>
            <w:noWrap/>
            <w:vAlign w:val="center"/>
          </w:tcPr>
          <w:p w14:paraId="3CBBFE7A" w14:textId="77777777" w:rsidR="0065555D" w:rsidRPr="008C6292" w:rsidRDefault="0065555D" w:rsidP="007049D5">
            <w:pPr>
              <w:spacing w:line="240" w:lineRule="auto"/>
              <w:jc w:val="center"/>
              <w:rPr>
                <w:sz w:val="19"/>
                <w:szCs w:val="19"/>
              </w:rPr>
            </w:pPr>
            <w:r w:rsidRPr="008C6292">
              <w:rPr>
                <w:sz w:val="19"/>
                <w:szCs w:val="19"/>
              </w:rPr>
              <w:t>0.0086</w:t>
            </w:r>
          </w:p>
        </w:tc>
        <w:tc>
          <w:tcPr>
            <w:tcW w:w="0" w:type="auto"/>
            <w:tcBorders>
              <w:top w:val="nil"/>
              <w:left w:val="nil"/>
              <w:bottom w:val="nil"/>
              <w:right w:val="nil"/>
            </w:tcBorders>
            <w:shd w:val="clear" w:color="auto" w:fill="auto"/>
            <w:noWrap/>
            <w:vAlign w:val="center"/>
          </w:tcPr>
          <w:p w14:paraId="131E5FC5" w14:textId="77777777" w:rsidR="0065555D" w:rsidRPr="008C6292" w:rsidRDefault="0065555D" w:rsidP="007049D5">
            <w:pPr>
              <w:spacing w:line="240" w:lineRule="auto"/>
              <w:jc w:val="center"/>
              <w:rPr>
                <w:sz w:val="19"/>
                <w:szCs w:val="19"/>
              </w:rPr>
            </w:pPr>
            <w:r w:rsidRPr="008C6292">
              <w:rPr>
                <w:sz w:val="19"/>
                <w:szCs w:val="19"/>
              </w:rPr>
              <w:t>(0.5876)</w:t>
            </w:r>
          </w:p>
        </w:tc>
      </w:tr>
      <w:tr w:rsidR="0065555D" w:rsidRPr="008C6292" w14:paraId="1C37CF63"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10634650" w14:textId="77777777" w:rsidR="0065555D" w:rsidRPr="008C6292" w:rsidRDefault="0065555D" w:rsidP="007049D5">
            <w:pPr>
              <w:spacing w:after="0" w:line="240" w:lineRule="auto"/>
              <w:jc w:val="left"/>
              <w:rPr>
                <w:rFonts w:eastAsia="Times New Roman" w:cs="Times New Roman"/>
                <w:sz w:val="19"/>
                <w:szCs w:val="19"/>
              </w:rPr>
            </w:pPr>
            <w:r w:rsidRPr="008C6292">
              <w:rPr>
                <w:rFonts w:eastAsia="Times New Roman" w:cs="Times New Roman"/>
                <w:sz w:val="19"/>
                <w:szCs w:val="19"/>
              </w:rPr>
              <w:t>D(HHI quantile=4)</w:t>
            </w:r>
          </w:p>
        </w:tc>
        <w:tc>
          <w:tcPr>
            <w:tcW w:w="0" w:type="auto"/>
            <w:tcBorders>
              <w:top w:val="nil"/>
              <w:left w:val="nil"/>
              <w:bottom w:val="nil"/>
              <w:right w:val="nil"/>
            </w:tcBorders>
            <w:shd w:val="clear" w:color="auto" w:fill="auto"/>
            <w:noWrap/>
            <w:vAlign w:val="center"/>
            <w:hideMark/>
          </w:tcPr>
          <w:p w14:paraId="4B8D35B1" w14:textId="77777777" w:rsidR="0065555D" w:rsidRPr="008C6292" w:rsidRDefault="0065555D" w:rsidP="007049D5">
            <w:pPr>
              <w:spacing w:line="240" w:lineRule="auto"/>
              <w:jc w:val="center"/>
              <w:rPr>
                <w:sz w:val="19"/>
                <w:szCs w:val="19"/>
              </w:rPr>
            </w:pPr>
          </w:p>
        </w:tc>
        <w:tc>
          <w:tcPr>
            <w:tcW w:w="0" w:type="auto"/>
            <w:tcBorders>
              <w:top w:val="nil"/>
              <w:left w:val="nil"/>
              <w:bottom w:val="nil"/>
              <w:right w:val="nil"/>
            </w:tcBorders>
            <w:shd w:val="clear" w:color="auto" w:fill="auto"/>
            <w:noWrap/>
            <w:vAlign w:val="center"/>
            <w:hideMark/>
          </w:tcPr>
          <w:p w14:paraId="03519DD9" w14:textId="77777777" w:rsidR="0065555D" w:rsidRPr="008C6292" w:rsidRDefault="0065555D" w:rsidP="007049D5">
            <w:pPr>
              <w:spacing w:line="240" w:lineRule="auto"/>
              <w:jc w:val="center"/>
              <w:rPr>
                <w:sz w:val="19"/>
                <w:szCs w:val="19"/>
              </w:rPr>
            </w:pPr>
          </w:p>
        </w:tc>
        <w:tc>
          <w:tcPr>
            <w:tcW w:w="0" w:type="auto"/>
            <w:tcBorders>
              <w:top w:val="nil"/>
              <w:left w:val="nil"/>
              <w:bottom w:val="nil"/>
              <w:right w:val="nil"/>
            </w:tcBorders>
            <w:shd w:val="clear" w:color="auto" w:fill="auto"/>
            <w:noWrap/>
            <w:vAlign w:val="center"/>
          </w:tcPr>
          <w:p w14:paraId="6D213970" w14:textId="77777777" w:rsidR="0065555D" w:rsidRPr="008C6292" w:rsidRDefault="0065555D" w:rsidP="007049D5">
            <w:pPr>
              <w:spacing w:line="240" w:lineRule="auto"/>
              <w:jc w:val="center"/>
              <w:rPr>
                <w:sz w:val="19"/>
                <w:szCs w:val="19"/>
              </w:rPr>
            </w:pPr>
            <w:r w:rsidRPr="008C6292">
              <w:rPr>
                <w:sz w:val="19"/>
                <w:szCs w:val="19"/>
              </w:rPr>
              <w:t>-0.0506</w:t>
            </w:r>
          </w:p>
        </w:tc>
        <w:tc>
          <w:tcPr>
            <w:tcW w:w="0" w:type="auto"/>
            <w:tcBorders>
              <w:top w:val="nil"/>
              <w:left w:val="nil"/>
              <w:bottom w:val="nil"/>
              <w:right w:val="nil"/>
            </w:tcBorders>
            <w:shd w:val="clear" w:color="auto" w:fill="auto"/>
            <w:noWrap/>
            <w:vAlign w:val="center"/>
          </w:tcPr>
          <w:p w14:paraId="2EA572F4" w14:textId="77777777" w:rsidR="0065555D" w:rsidRPr="008C6292" w:rsidRDefault="0065555D" w:rsidP="007049D5">
            <w:pPr>
              <w:spacing w:line="240" w:lineRule="auto"/>
              <w:jc w:val="center"/>
              <w:rPr>
                <w:sz w:val="19"/>
                <w:szCs w:val="19"/>
              </w:rPr>
            </w:pPr>
            <w:r w:rsidRPr="008C6292">
              <w:rPr>
                <w:sz w:val="19"/>
                <w:szCs w:val="19"/>
              </w:rPr>
              <w:t>(-2.6333)</w:t>
            </w:r>
          </w:p>
        </w:tc>
      </w:tr>
      <w:tr w:rsidR="0065555D" w:rsidRPr="008C6292" w14:paraId="004EADC2"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241BCD27" w14:textId="77777777" w:rsidR="0065555D" w:rsidRPr="008C6292" w:rsidRDefault="0065555D" w:rsidP="007049D5">
            <w:pPr>
              <w:spacing w:after="0" w:line="240" w:lineRule="auto"/>
              <w:jc w:val="left"/>
              <w:rPr>
                <w:rFonts w:eastAsia="Times New Roman" w:cs="Times New Roman"/>
                <w:sz w:val="19"/>
                <w:szCs w:val="19"/>
              </w:rPr>
            </w:pPr>
            <w:r w:rsidRPr="008C6292">
              <w:rPr>
                <w:rFonts w:eastAsia="Times New Roman" w:cs="Times New Roman"/>
                <w:sz w:val="19"/>
                <w:szCs w:val="19"/>
              </w:rPr>
              <w:t>D(HHI quantile=4)</w:t>
            </w:r>
            <w:r w:rsidRPr="008C6292">
              <w:rPr>
                <w:rFonts w:eastAsia="Times New Roman" w:cs="Times New Roman"/>
                <w:color w:val="000000"/>
                <w:sz w:val="19"/>
                <w:szCs w:val="19"/>
              </w:rPr>
              <w:t xml:space="preserve"> × D(L1 Rollover)</w:t>
            </w:r>
          </w:p>
        </w:tc>
        <w:tc>
          <w:tcPr>
            <w:tcW w:w="0" w:type="auto"/>
            <w:tcBorders>
              <w:top w:val="nil"/>
              <w:left w:val="nil"/>
              <w:bottom w:val="nil"/>
              <w:right w:val="nil"/>
            </w:tcBorders>
            <w:shd w:val="clear" w:color="auto" w:fill="auto"/>
            <w:noWrap/>
            <w:vAlign w:val="center"/>
            <w:hideMark/>
          </w:tcPr>
          <w:p w14:paraId="599A0FE2" w14:textId="77777777" w:rsidR="0065555D" w:rsidRPr="008C6292" w:rsidRDefault="0065555D" w:rsidP="007049D5">
            <w:pPr>
              <w:spacing w:line="240" w:lineRule="auto"/>
              <w:jc w:val="center"/>
              <w:rPr>
                <w:sz w:val="19"/>
                <w:szCs w:val="19"/>
              </w:rPr>
            </w:pPr>
          </w:p>
        </w:tc>
        <w:tc>
          <w:tcPr>
            <w:tcW w:w="0" w:type="auto"/>
            <w:tcBorders>
              <w:top w:val="nil"/>
              <w:left w:val="nil"/>
              <w:bottom w:val="nil"/>
              <w:right w:val="nil"/>
            </w:tcBorders>
            <w:shd w:val="clear" w:color="auto" w:fill="auto"/>
            <w:noWrap/>
            <w:vAlign w:val="center"/>
            <w:hideMark/>
          </w:tcPr>
          <w:p w14:paraId="06602C38" w14:textId="77777777" w:rsidR="0065555D" w:rsidRPr="008C6292" w:rsidRDefault="0065555D" w:rsidP="007049D5">
            <w:pPr>
              <w:spacing w:line="240" w:lineRule="auto"/>
              <w:jc w:val="center"/>
              <w:rPr>
                <w:sz w:val="19"/>
                <w:szCs w:val="19"/>
              </w:rPr>
            </w:pPr>
          </w:p>
        </w:tc>
        <w:tc>
          <w:tcPr>
            <w:tcW w:w="0" w:type="auto"/>
            <w:tcBorders>
              <w:top w:val="nil"/>
              <w:left w:val="nil"/>
              <w:bottom w:val="nil"/>
              <w:right w:val="nil"/>
            </w:tcBorders>
            <w:shd w:val="clear" w:color="auto" w:fill="auto"/>
            <w:noWrap/>
            <w:vAlign w:val="center"/>
          </w:tcPr>
          <w:p w14:paraId="328D0F06" w14:textId="77777777" w:rsidR="0065555D" w:rsidRPr="008C6292" w:rsidRDefault="0065555D" w:rsidP="007049D5">
            <w:pPr>
              <w:spacing w:line="240" w:lineRule="auto"/>
              <w:jc w:val="center"/>
              <w:rPr>
                <w:sz w:val="19"/>
                <w:szCs w:val="19"/>
              </w:rPr>
            </w:pPr>
            <w:r w:rsidRPr="008C6292">
              <w:rPr>
                <w:sz w:val="19"/>
                <w:szCs w:val="19"/>
              </w:rPr>
              <w:t>0.0578</w:t>
            </w:r>
          </w:p>
        </w:tc>
        <w:tc>
          <w:tcPr>
            <w:tcW w:w="0" w:type="auto"/>
            <w:tcBorders>
              <w:top w:val="nil"/>
              <w:left w:val="nil"/>
              <w:bottom w:val="nil"/>
              <w:right w:val="nil"/>
            </w:tcBorders>
            <w:shd w:val="clear" w:color="auto" w:fill="auto"/>
            <w:noWrap/>
            <w:vAlign w:val="center"/>
          </w:tcPr>
          <w:p w14:paraId="6886393C" w14:textId="77777777" w:rsidR="0065555D" w:rsidRPr="008C6292" w:rsidRDefault="0065555D" w:rsidP="007049D5">
            <w:pPr>
              <w:spacing w:line="240" w:lineRule="auto"/>
              <w:jc w:val="center"/>
              <w:rPr>
                <w:sz w:val="19"/>
                <w:szCs w:val="19"/>
              </w:rPr>
            </w:pPr>
            <w:r w:rsidRPr="008C6292">
              <w:rPr>
                <w:sz w:val="19"/>
                <w:szCs w:val="19"/>
              </w:rPr>
              <w:t>(3.4223)</w:t>
            </w:r>
          </w:p>
        </w:tc>
      </w:tr>
      <w:tr w:rsidR="0065555D" w:rsidRPr="008C6292" w14:paraId="7584FF3C"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656CA1B9" w14:textId="77777777" w:rsidR="0065555D" w:rsidRPr="008C6292" w:rsidRDefault="0065555D" w:rsidP="007049D5">
            <w:pPr>
              <w:spacing w:after="0" w:line="240" w:lineRule="auto"/>
              <w:jc w:val="left"/>
              <w:rPr>
                <w:rFonts w:eastAsia="Times New Roman" w:cs="Times New Roman"/>
                <w:sz w:val="19"/>
                <w:szCs w:val="19"/>
              </w:rPr>
            </w:pPr>
            <w:r w:rsidRPr="008C6292">
              <w:rPr>
                <w:rFonts w:eastAsia="Times New Roman" w:cs="Times New Roman"/>
                <w:sz w:val="19"/>
                <w:szCs w:val="19"/>
              </w:rPr>
              <w:t>D(HHI quantile=5)</w:t>
            </w:r>
          </w:p>
        </w:tc>
        <w:tc>
          <w:tcPr>
            <w:tcW w:w="0" w:type="auto"/>
            <w:tcBorders>
              <w:top w:val="nil"/>
              <w:left w:val="nil"/>
              <w:bottom w:val="nil"/>
              <w:right w:val="nil"/>
            </w:tcBorders>
            <w:shd w:val="clear" w:color="auto" w:fill="auto"/>
            <w:noWrap/>
            <w:vAlign w:val="center"/>
            <w:hideMark/>
          </w:tcPr>
          <w:p w14:paraId="13852388" w14:textId="77777777" w:rsidR="0065555D" w:rsidRPr="008C6292" w:rsidRDefault="0065555D" w:rsidP="007049D5">
            <w:pPr>
              <w:spacing w:line="240" w:lineRule="auto"/>
              <w:jc w:val="center"/>
              <w:rPr>
                <w:sz w:val="19"/>
                <w:szCs w:val="19"/>
              </w:rPr>
            </w:pPr>
          </w:p>
        </w:tc>
        <w:tc>
          <w:tcPr>
            <w:tcW w:w="0" w:type="auto"/>
            <w:tcBorders>
              <w:top w:val="nil"/>
              <w:left w:val="nil"/>
              <w:bottom w:val="nil"/>
              <w:right w:val="nil"/>
            </w:tcBorders>
            <w:shd w:val="clear" w:color="auto" w:fill="auto"/>
            <w:noWrap/>
            <w:vAlign w:val="center"/>
            <w:hideMark/>
          </w:tcPr>
          <w:p w14:paraId="75B0DACA" w14:textId="77777777" w:rsidR="0065555D" w:rsidRPr="008C6292" w:rsidRDefault="0065555D" w:rsidP="007049D5">
            <w:pPr>
              <w:spacing w:line="240" w:lineRule="auto"/>
              <w:jc w:val="center"/>
              <w:rPr>
                <w:sz w:val="19"/>
                <w:szCs w:val="19"/>
              </w:rPr>
            </w:pPr>
          </w:p>
        </w:tc>
        <w:tc>
          <w:tcPr>
            <w:tcW w:w="0" w:type="auto"/>
            <w:tcBorders>
              <w:top w:val="nil"/>
              <w:left w:val="nil"/>
              <w:bottom w:val="nil"/>
              <w:right w:val="nil"/>
            </w:tcBorders>
            <w:shd w:val="clear" w:color="auto" w:fill="auto"/>
            <w:noWrap/>
            <w:vAlign w:val="center"/>
          </w:tcPr>
          <w:p w14:paraId="1CC6750A" w14:textId="77777777" w:rsidR="0065555D" w:rsidRPr="008C6292" w:rsidRDefault="0065555D" w:rsidP="007049D5">
            <w:pPr>
              <w:spacing w:line="240" w:lineRule="auto"/>
              <w:jc w:val="center"/>
              <w:rPr>
                <w:sz w:val="19"/>
                <w:szCs w:val="19"/>
              </w:rPr>
            </w:pPr>
            <w:r w:rsidRPr="008C6292">
              <w:rPr>
                <w:sz w:val="19"/>
                <w:szCs w:val="19"/>
              </w:rPr>
              <w:t>-0.0515</w:t>
            </w:r>
          </w:p>
        </w:tc>
        <w:tc>
          <w:tcPr>
            <w:tcW w:w="0" w:type="auto"/>
            <w:tcBorders>
              <w:top w:val="nil"/>
              <w:left w:val="nil"/>
              <w:bottom w:val="nil"/>
              <w:right w:val="nil"/>
            </w:tcBorders>
            <w:shd w:val="clear" w:color="auto" w:fill="auto"/>
            <w:noWrap/>
            <w:vAlign w:val="center"/>
          </w:tcPr>
          <w:p w14:paraId="0484CBA4" w14:textId="77777777" w:rsidR="0065555D" w:rsidRPr="008C6292" w:rsidRDefault="0065555D" w:rsidP="007049D5">
            <w:pPr>
              <w:spacing w:line="240" w:lineRule="auto"/>
              <w:jc w:val="center"/>
              <w:rPr>
                <w:sz w:val="19"/>
                <w:szCs w:val="19"/>
              </w:rPr>
            </w:pPr>
            <w:r w:rsidRPr="008C6292">
              <w:rPr>
                <w:sz w:val="19"/>
                <w:szCs w:val="19"/>
              </w:rPr>
              <w:t>(-3.1369)</w:t>
            </w:r>
          </w:p>
        </w:tc>
      </w:tr>
      <w:tr w:rsidR="0065555D" w:rsidRPr="008C6292" w14:paraId="4E4288ED"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0A408488" w14:textId="77777777" w:rsidR="0065555D" w:rsidRPr="008C6292" w:rsidRDefault="0065555D" w:rsidP="007049D5">
            <w:pPr>
              <w:spacing w:after="0" w:line="240" w:lineRule="auto"/>
              <w:jc w:val="left"/>
              <w:rPr>
                <w:rFonts w:eastAsia="Times New Roman" w:cs="Times New Roman"/>
                <w:sz w:val="19"/>
                <w:szCs w:val="19"/>
              </w:rPr>
            </w:pPr>
            <w:r w:rsidRPr="008C6292">
              <w:rPr>
                <w:rFonts w:eastAsia="Times New Roman" w:cs="Times New Roman"/>
                <w:sz w:val="19"/>
                <w:szCs w:val="19"/>
              </w:rPr>
              <w:t>D(HHI quantile=5)</w:t>
            </w:r>
            <w:r w:rsidRPr="008C6292">
              <w:rPr>
                <w:rFonts w:eastAsia="Times New Roman" w:cs="Times New Roman"/>
                <w:color w:val="000000"/>
                <w:sz w:val="19"/>
                <w:szCs w:val="19"/>
              </w:rPr>
              <w:t xml:space="preserve"> × D(L1 Rollover)</w:t>
            </w:r>
          </w:p>
        </w:tc>
        <w:tc>
          <w:tcPr>
            <w:tcW w:w="0" w:type="auto"/>
            <w:tcBorders>
              <w:top w:val="nil"/>
              <w:left w:val="nil"/>
              <w:bottom w:val="nil"/>
              <w:right w:val="nil"/>
            </w:tcBorders>
            <w:shd w:val="clear" w:color="auto" w:fill="auto"/>
            <w:noWrap/>
            <w:vAlign w:val="center"/>
            <w:hideMark/>
          </w:tcPr>
          <w:p w14:paraId="6828FFE3" w14:textId="77777777" w:rsidR="0065555D" w:rsidRPr="008C6292" w:rsidRDefault="0065555D" w:rsidP="007049D5">
            <w:pPr>
              <w:spacing w:line="240" w:lineRule="auto"/>
              <w:jc w:val="center"/>
              <w:rPr>
                <w:sz w:val="19"/>
                <w:szCs w:val="19"/>
              </w:rPr>
            </w:pPr>
          </w:p>
        </w:tc>
        <w:tc>
          <w:tcPr>
            <w:tcW w:w="0" w:type="auto"/>
            <w:tcBorders>
              <w:top w:val="nil"/>
              <w:left w:val="nil"/>
              <w:bottom w:val="nil"/>
              <w:right w:val="nil"/>
            </w:tcBorders>
            <w:shd w:val="clear" w:color="auto" w:fill="auto"/>
            <w:noWrap/>
            <w:vAlign w:val="center"/>
            <w:hideMark/>
          </w:tcPr>
          <w:p w14:paraId="07EDA74C" w14:textId="77777777" w:rsidR="0065555D" w:rsidRPr="008C6292" w:rsidRDefault="0065555D" w:rsidP="007049D5">
            <w:pPr>
              <w:spacing w:line="240" w:lineRule="auto"/>
              <w:jc w:val="center"/>
              <w:rPr>
                <w:sz w:val="19"/>
                <w:szCs w:val="19"/>
              </w:rPr>
            </w:pPr>
          </w:p>
        </w:tc>
        <w:tc>
          <w:tcPr>
            <w:tcW w:w="0" w:type="auto"/>
            <w:tcBorders>
              <w:top w:val="nil"/>
              <w:left w:val="nil"/>
              <w:bottom w:val="nil"/>
              <w:right w:val="nil"/>
            </w:tcBorders>
            <w:shd w:val="clear" w:color="auto" w:fill="auto"/>
            <w:noWrap/>
            <w:vAlign w:val="center"/>
          </w:tcPr>
          <w:p w14:paraId="4337BD71" w14:textId="77777777" w:rsidR="0065555D" w:rsidRPr="008C6292" w:rsidRDefault="0065555D" w:rsidP="007049D5">
            <w:pPr>
              <w:spacing w:line="240" w:lineRule="auto"/>
              <w:jc w:val="center"/>
              <w:rPr>
                <w:sz w:val="19"/>
                <w:szCs w:val="19"/>
              </w:rPr>
            </w:pPr>
            <w:r w:rsidRPr="008C6292">
              <w:rPr>
                <w:sz w:val="19"/>
                <w:szCs w:val="19"/>
              </w:rPr>
              <w:t>0.0522</w:t>
            </w:r>
          </w:p>
        </w:tc>
        <w:tc>
          <w:tcPr>
            <w:tcW w:w="0" w:type="auto"/>
            <w:tcBorders>
              <w:top w:val="nil"/>
              <w:left w:val="nil"/>
              <w:bottom w:val="nil"/>
              <w:right w:val="nil"/>
            </w:tcBorders>
            <w:shd w:val="clear" w:color="auto" w:fill="auto"/>
            <w:noWrap/>
            <w:vAlign w:val="center"/>
          </w:tcPr>
          <w:p w14:paraId="4C6B5FAF" w14:textId="77777777" w:rsidR="0065555D" w:rsidRPr="008C6292" w:rsidRDefault="0065555D" w:rsidP="007049D5">
            <w:pPr>
              <w:spacing w:line="240" w:lineRule="auto"/>
              <w:jc w:val="center"/>
              <w:rPr>
                <w:sz w:val="19"/>
                <w:szCs w:val="19"/>
              </w:rPr>
            </w:pPr>
            <w:r w:rsidRPr="008C6292">
              <w:rPr>
                <w:sz w:val="19"/>
                <w:szCs w:val="19"/>
              </w:rPr>
              <w:t>(4.1661)</w:t>
            </w:r>
          </w:p>
        </w:tc>
      </w:tr>
      <w:tr w:rsidR="0065555D" w:rsidRPr="008C6292" w14:paraId="7D04D3CB"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698BC975" w14:textId="77777777" w:rsidR="0065555D" w:rsidRPr="008C6292" w:rsidRDefault="0065555D" w:rsidP="007049D5">
            <w:pPr>
              <w:spacing w:after="0" w:line="240" w:lineRule="auto"/>
              <w:jc w:val="left"/>
              <w:rPr>
                <w:rFonts w:eastAsia="Times New Roman" w:cs="Times New Roman"/>
                <w:sz w:val="19"/>
                <w:szCs w:val="19"/>
              </w:rPr>
            </w:pPr>
            <w:r w:rsidRPr="008C6292">
              <w:rPr>
                <w:rFonts w:eastAsia="Times New Roman" w:cs="Times New Roman"/>
                <w:sz w:val="19"/>
                <w:szCs w:val="19"/>
              </w:rPr>
              <w:t>D(HHI quantile=6)</w:t>
            </w:r>
            <w:r w:rsidRPr="008C6292">
              <w:rPr>
                <w:rFonts w:eastAsia="Times New Roman" w:cs="Times New Roman"/>
                <w:color w:val="000000"/>
                <w:sz w:val="19"/>
                <w:szCs w:val="19"/>
              </w:rPr>
              <w:t xml:space="preserve"> × D(L1 Rollover)</w:t>
            </w:r>
          </w:p>
        </w:tc>
        <w:tc>
          <w:tcPr>
            <w:tcW w:w="0" w:type="auto"/>
            <w:tcBorders>
              <w:top w:val="nil"/>
              <w:left w:val="nil"/>
              <w:bottom w:val="nil"/>
              <w:right w:val="nil"/>
            </w:tcBorders>
            <w:shd w:val="clear" w:color="auto" w:fill="auto"/>
            <w:noWrap/>
            <w:vAlign w:val="center"/>
            <w:hideMark/>
          </w:tcPr>
          <w:p w14:paraId="32BC73C8" w14:textId="77777777" w:rsidR="0065555D" w:rsidRPr="008C6292" w:rsidRDefault="0065555D" w:rsidP="007049D5">
            <w:pPr>
              <w:spacing w:line="240" w:lineRule="auto"/>
              <w:jc w:val="center"/>
              <w:rPr>
                <w:sz w:val="19"/>
                <w:szCs w:val="19"/>
              </w:rPr>
            </w:pPr>
          </w:p>
        </w:tc>
        <w:tc>
          <w:tcPr>
            <w:tcW w:w="0" w:type="auto"/>
            <w:tcBorders>
              <w:top w:val="nil"/>
              <w:left w:val="nil"/>
              <w:bottom w:val="nil"/>
              <w:right w:val="nil"/>
            </w:tcBorders>
            <w:shd w:val="clear" w:color="auto" w:fill="auto"/>
            <w:noWrap/>
            <w:vAlign w:val="center"/>
            <w:hideMark/>
          </w:tcPr>
          <w:p w14:paraId="02B2972D" w14:textId="77777777" w:rsidR="0065555D" w:rsidRPr="008C6292" w:rsidRDefault="0065555D" w:rsidP="007049D5">
            <w:pPr>
              <w:spacing w:line="240" w:lineRule="auto"/>
              <w:jc w:val="center"/>
              <w:rPr>
                <w:sz w:val="19"/>
                <w:szCs w:val="19"/>
              </w:rPr>
            </w:pPr>
          </w:p>
        </w:tc>
        <w:tc>
          <w:tcPr>
            <w:tcW w:w="0" w:type="auto"/>
            <w:tcBorders>
              <w:top w:val="nil"/>
              <w:left w:val="nil"/>
              <w:bottom w:val="nil"/>
              <w:right w:val="nil"/>
            </w:tcBorders>
            <w:shd w:val="clear" w:color="auto" w:fill="auto"/>
            <w:noWrap/>
            <w:vAlign w:val="center"/>
          </w:tcPr>
          <w:p w14:paraId="185E52D2" w14:textId="77777777" w:rsidR="0065555D" w:rsidRPr="008C6292" w:rsidRDefault="0065555D" w:rsidP="007049D5">
            <w:pPr>
              <w:spacing w:line="240" w:lineRule="auto"/>
              <w:jc w:val="center"/>
              <w:rPr>
                <w:sz w:val="19"/>
                <w:szCs w:val="19"/>
              </w:rPr>
            </w:pPr>
            <w:r w:rsidRPr="008C6292">
              <w:rPr>
                <w:sz w:val="19"/>
                <w:szCs w:val="19"/>
              </w:rPr>
              <w:t>0.0145</w:t>
            </w:r>
          </w:p>
        </w:tc>
        <w:tc>
          <w:tcPr>
            <w:tcW w:w="0" w:type="auto"/>
            <w:tcBorders>
              <w:top w:val="nil"/>
              <w:left w:val="nil"/>
              <w:bottom w:val="nil"/>
              <w:right w:val="nil"/>
            </w:tcBorders>
            <w:shd w:val="clear" w:color="auto" w:fill="auto"/>
            <w:noWrap/>
            <w:vAlign w:val="center"/>
          </w:tcPr>
          <w:p w14:paraId="759C01FA" w14:textId="77777777" w:rsidR="0065555D" w:rsidRPr="008C6292" w:rsidRDefault="0065555D" w:rsidP="007049D5">
            <w:pPr>
              <w:spacing w:line="240" w:lineRule="auto"/>
              <w:jc w:val="center"/>
              <w:rPr>
                <w:sz w:val="19"/>
                <w:szCs w:val="19"/>
              </w:rPr>
            </w:pPr>
            <w:r w:rsidRPr="008C6292">
              <w:rPr>
                <w:sz w:val="19"/>
                <w:szCs w:val="19"/>
              </w:rPr>
              <w:t>(0.6137)</w:t>
            </w:r>
          </w:p>
        </w:tc>
      </w:tr>
      <w:tr w:rsidR="0065555D" w:rsidRPr="008C6292" w14:paraId="521133BD"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3D3E1C3D" w14:textId="77777777" w:rsidR="0065555D" w:rsidRPr="008C6292" w:rsidRDefault="0065555D" w:rsidP="007049D5">
            <w:pPr>
              <w:spacing w:after="0" w:line="240" w:lineRule="auto"/>
              <w:jc w:val="left"/>
              <w:rPr>
                <w:rFonts w:eastAsia="Times New Roman" w:cs="Times New Roman"/>
                <w:sz w:val="19"/>
                <w:szCs w:val="19"/>
              </w:rPr>
            </w:pPr>
            <w:r w:rsidRPr="008C6292">
              <w:rPr>
                <w:rFonts w:eastAsia="Times New Roman" w:cs="Times New Roman"/>
                <w:color w:val="000000"/>
                <w:sz w:val="19"/>
                <w:szCs w:val="19"/>
              </w:rPr>
              <w:t>Log(</w:t>
            </w:r>
            <w:r>
              <w:rPr>
                <w:rFonts w:eastAsia="Times New Roman" w:cs="Times New Roman"/>
                <w:color w:val="000000"/>
                <w:sz w:val="19"/>
                <w:szCs w:val="19"/>
              </w:rPr>
              <w:t xml:space="preserve">Real </w:t>
            </w:r>
            <w:r w:rsidRPr="008C6292">
              <w:rPr>
                <w:rFonts w:eastAsia="Times New Roman" w:cs="Times New Roman"/>
                <w:color w:val="000000"/>
                <w:sz w:val="19"/>
                <w:szCs w:val="19"/>
              </w:rPr>
              <w:t>Property Value)</w:t>
            </w:r>
          </w:p>
        </w:tc>
        <w:tc>
          <w:tcPr>
            <w:tcW w:w="0" w:type="auto"/>
            <w:tcBorders>
              <w:top w:val="nil"/>
              <w:left w:val="nil"/>
              <w:bottom w:val="nil"/>
              <w:right w:val="nil"/>
            </w:tcBorders>
            <w:shd w:val="clear" w:color="auto" w:fill="auto"/>
            <w:noWrap/>
            <w:vAlign w:val="center"/>
          </w:tcPr>
          <w:p w14:paraId="12CE35FE" w14:textId="77777777" w:rsidR="0065555D" w:rsidRPr="008C6292" w:rsidRDefault="0065555D" w:rsidP="007049D5">
            <w:pPr>
              <w:spacing w:line="240" w:lineRule="auto"/>
              <w:jc w:val="center"/>
              <w:rPr>
                <w:sz w:val="19"/>
                <w:szCs w:val="19"/>
              </w:rPr>
            </w:pPr>
            <w:r w:rsidRPr="008C6292">
              <w:rPr>
                <w:sz w:val="19"/>
                <w:szCs w:val="19"/>
              </w:rPr>
              <w:t>-0.1253</w:t>
            </w:r>
          </w:p>
        </w:tc>
        <w:tc>
          <w:tcPr>
            <w:tcW w:w="0" w:type="auto"/>
            <w:tcBorders>
              <w:top w:val="nil"/>
              <w:left w:val="nil"/>
              <w:bottom w:val="nil"/>
              <w:right w:val="nil"/>
            </w:tcBorders>
            <w:shd w:val="clear" w:color="auto" w:fill="auto"/>
            <w:noWrap/>
            <w:vAlign w:val="center"/>
          </w:tcPr>
          <w:p w14:paraId="0BF9FEFC" w14:textId="77777777" w:rsidR="0065555D" w:rsidRPr="008C6292" w:rsidRDefault="0065555D" w:rsidP="007049D5">
            <w:pPr>
              <w:spacing w:line="240" w:lineRule="auto"/>
              <w:jc w:val="center"/>
              <w:rPr>
                <w:sz w:val="19"/>
                <w:szCs w:val="19"/>
              </w:rPr>
            </w:pPr>
            <w:r w:rsidRPr="008C6292">
              <w:rPr>
                <w:sz w:val="19"/>
                <w:szCs w:val="19"/>
              </w:rPr>
              <w:t>(-22.8752)</w:t>
            </w:r>
          </w:p>
        </w:tc>
        <w:tc>
          <w:tcPr>
            <w:tcW w:w="0" w:type="auto"/>
            <w:tcBorders>
              <w:top w:val="nil"/>
              <w:left w:val="nil"/>
              <w:bottom w:val="nil"/>
              <w:right w:val="nil"/>
            </w:tcBorders>
            <w:shd w:val="clear" w:color="auto" w:fill="auto"/>
            <w:noWrap/>
            <w:vAlign w:val="center"/>
          </w:tcPr>
          <w:p w14:paraId="10B7B562" w14:textId="77777777" w:rsidR="0065555D" w:rsidRPr="008C6292" w:rsidRDefault="0065555D" w:rsidP="007049D5">
            <w:pPr>
              <w:spacing w:line="240" w:lineRule="auto"/>
              <w:jc w:val="center"/>
              <w:rPr>
                <w:sz w:val="19"/>
                <w:szCs w:val="19"/>
              </w:rPr>
            </w:pPr>
            <w:r w:rsidRPr="008C6292">
              <w:rPr>
                <w:sz w:val="19"/>
                <w:szCs w:val="19"/>
              </w:rPr>
              <w:t>-0.1216</w:t>
            </w:r>
          </w:p>
        </w:tc>
        <w:tc>
          <w:tcPr>
            <w:tcW w:w="0" w:type="auto"/>
            <w:tcBorders>
              <w:top w:val="nil"/>
              <w:left w:val="nil"/>
              <w:bottom w:val="nil"/>
              <w:right w:val="nil"/>
            </w:tcBorders>
            <w:shd w:val="clear" w:color="auto" w:fill="auto"/>
            <w:noWrap/>
            <w:vAlign w:val="center"/>
          </w:tcPr>
          <w:p w14:paraId="72B62E0A" w14:textId="77777777" w:rsidR="0065555D" w:rsidRPr="008C6292" w:rsidRDefault="0065555D" w:rsidP="007049D5">
            <w:pPr>
              <w:spacing w:line="240" w:lineRule="auto"/>
              <w:jc w:val="center"/>
              <w:rPr>
                <w:sz w:val="19"/>
                <w:szCs w:val="19"/>
              </w:rPr>
            </w:pPr>
            <w:r w:rsidRPr="008C6292">
              <w:rPr>
                <w:sz w:val="19"/>
                <w:szCs w:val="19"/>
              </w:rPr>
              <w:t>(-22.3816)</w:t>
            </w:r>
          </w:p>
        </w:tc>
      </w:tr>
      <w:tr w:rsidR="0065555D" w:rsidRPr="008C6292" w14:paraId="04270923"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78FAA81B" w14:textId="77777777" w:rsidR="0065555D" w:rsidRPr="008C6292" w:rsidRDefault="0065555D" w:rsidP="007049D5">
            <w:pPr>
              <w:spacing w:after="0" w:line="240" w:lineRule="auto"/>
              <w:jc w:val="left"/>
              <w:rPr>
                <w:rFonts w:eastAsia="Times New Roman" w:cs="Times New Roman"/>
                <w:sz w:val="19"/>
                <w:szCs w:val="19"/>
              </w:rPr>
            </w:pPr>
            <w:r w:rsidRPr="008C6292">
              <w:rPr>
                <w:rFonts w:eastAsia="Times New Roman" w:cs="Times New Roman"/>
                <w:sz w:val="19"/>
                <w:szCs w:val="19"/>
              </w:rPr>
              <w:t>LTV</w:t>
            </w:r>
          </w:p>
        </w:tc>
        <w:tc>
          <w:tcPr>
            <w:tcW w:w="0" w:type="auto"/>
            <w:tcBorders>
              <w:top w:val="nil"/>
              <w:left w:val="nil"/>
              <w:bottom w:val="nil"/>
              <w:right w:val="nil"/>
            </w:tcBorders>
            <w:shd w:val="clear" w:color="auto" w:fill="auto"/>
            <w:noWrap/>
            <w:vAlign w:val="center"/>
          </w:tcPr>
          <w:p w14:paraId="43101AD4" w14:textId="77777777" w:rsidR="0065555D" w:rsidRPr="008C6292" w:rsidRDefault="0065555D" w:rsidP="007049D5">
            <w:pPr>
              <w:spacing w:line="240" w:lineRule="auto"/>
              <w:jc w:val="center"/>
              <w:rPr>
                <w:sz w:val="19"/>
                <w:szCs w:val="19"/>
              </w:rPr>
            </w:pPr>
            <w:r w:rsidRPr="008C6292">
              <w:rPr>
                <w:sz w:val="19"/>
                <w:szCs w:val="19"/>
              </w:rPr>
              <w:t>0.5983</w:t>
            </w:r>
          </w:p>
        </w:tc>
        <w:tc>
          <w:tcPr>
            <w:tcW w:w="0" w:type="auto"/>
            <w:tcBorders>
              <w:top w:val="nil"/>
              <w:left w:val="nil"/>
              <w:bottom w:val="nil"/>
              <w:right w:val="nil"/>
            </w:tcBorders>
            <w:shd w:val="clear" w:color="auto" w:fill="auto"/>
            <w:noWrap/>
            <w:vAlign w:val="center"/>
          </w:tcPr>
          <w:p w14:paraId="5BE21D24" w14:textId="77777777" w:rsidR="0065555D" w:rsidRPr="008C6292" w:rsidRDefault="0065555D" w:rsidP="007049D5">
            <w:pPr>
              <w:spacing w:line="240" w:lineRule="auto"/>
              <w:jc w:val="center"/>
              <w:rPr>
                <w:sz w:val="19"/>
                <w:szCs w:val="19"/>
              </w:rPr>
            </w:pPr>
            <w:r w:rsidRPr="008C6292">
              <w:rPr>
                <w:sz w:val="19"/>
                <w:szCs w:val="19"/>
              </w:rPr>
              <w:t>(1.6213)</w:t>
            </w:r>
          </w:p>
        </w:tc>
        <w:tc>
          <w:tcPr>
            <w:tcW w:w="0" w:type="auto"/>
            <w:tcBorders>
              <w:top w:val="nil"/>
              <w:left w:val="nil"/>
              <w:bottom w:val="nil"/>
              <w:right w:val="nil"/>
            </w:tcBorders>
            <w:shd w:val="clear" w:color="auto" w:fill="auto"/>
            <w:noWrap/>
            <w:vAlign w:val="center"/>
          </w:tcPr>
          <w:p w14:paraId="0C84DE06" w14:textId="77777777" w:rsidR="0065555D" w:rsidRPr="008C6292" w:rsidRDefault="0065555D" w:rsidP="007049D5">
            <w:pPr>
              <w:spacing w:line="240" w:lineRule="auto"/>
              <w:jc w:val="center"/>
              <w:rPr>
                <w:sz w:val="19"/>
                <w:szCs w:val="19"/>
              </w:rPr>
            </w:pPr>
            <w:r w:rsidRPr="008C6292">
              <w:rPr>
                <w:sz w:val="19"/>
                <w:szCs w:val="19"/>
              </w:rPr>
              <w:t>0.7424</w:t>
            </w:r>
          </w:p>
        </w:tc>
        <w:tc>
          <w:tcPr>
            <w:tcW w:w="0" w:type="auto"/>
            <w:tcBorders>
              <w:top w:val="nil"/>
              <w:left w:val="nil"/>
              <w:bottom w:val="nil"/>
              <w:right w:val="nil"/>
            </w:tcBorders>
            <w:shd w:val="clear" w:color="auto" w:fill="auto"/>
            <w:noWrap/>
            <w:vAlign w:val="center"/>
          </w:tcPr>
          <w:p w14:paraId="60464DE4" w14:textId="77777777" w:rsidR="0065555D" w:rsidRPr="008C6292" w:rsidRDefault="0065555D" w:rsidP="007049D5">
            <w:pPr>
              <w:spacing w:line="240" w:lineRule="auto"/>
              <w:jc w:val="center"/>
              <w:rPr>
                <w:sz w:val="19"/>
                <w:szCs w:val="19"/>
              </w:rPr>
            </w:pPr>
            <w:r w:rsidRPr="008C6292">
              <w:rPr>
                <w:sz w:val="19"/>
                <w:szCs w:val="19"/>
              </w:rPr>
              <w:t>(1.8410)</w:t>
            </w:r>
          </w:p>
        </w:tc>
      </w:tr>
      <w:tr w:rsidR="0065555D" w:rsidRPr="008C6292" w14:paraId="5EFA9593"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68962701" w14:textId="77777777" w:rsidR="0065555D" w:rsidRPr="008C6292" w:rsidRDefault="0065555D" w:rsidP="007049D5">
            <w:pPr>
              <w:spacing w:after="0" w:line="240" w:lineRule="auto"/>
              <w:jc w:val="left"/>
              <w:rPr>
                <w:rFonts w:eastAsia="Times New Roman" w:cs="Times New Roman"/>
                <w:color w:val="000000"/>
                <w:sz w:val="19"/>
                <w:szCs w:val="19"/>
              </w:rPr>
            </w:pPr>
            <w:r w:rsidRPr="008C6292">
              <w:rPr>
                <w:rFonts w:eastAsia="Times New Roman" w:cs="Times New Roman"/>
                <w:color w:val="000000"/>
                <w:sz w:val="19"/>
                <w:szCs w:val="19"/>
              </w:rPr>
              <w:t>NOI / Prop Value</w:t>
            </w:r>
          </w:p>
        </w:tc>
        <w:tc>
          <w:tcPr>
            <w:tcW w:w="0" w:type="auto"/>
            <w:tcBorders>
              <w:top w:val="nil"/>
              <w:left w:val="nil"/>
              <w:bottom w:val="nil"/>
              <w:right w:val="nil"/>
            </w:tcBorders>
            <w:shd w:val="clear" w:color="auto" w:fill="auto"/>
            <w:noWrap/>
            <w:vAlign w:val="center"/>
            <w:hideMark/>
          </w:tcPr>
          <w:p w14:paraId="63634068" w14:textId="77777777" w:rsidR="0065555D" w:rsidRPr="008C6292" w:rsidRDefault="0065555D" w:rsidP="007049D5">
            <w:pPr>
              <w:spacing w:line="240" w:lineRule="auto"/>
              <w:jc w:val="center"/>
              <w:rPr>
                <w:sz w:val="19"/>
                <w:szCs w:val="19"/>
              </w:rPr>
            </w:pPr>
            <w:r w:rsidRPr="008C6292">
              <w:rPr>
                <w:sz w:val="19"/>
                <w:szCs w:val="19"/>
              </w:rPr>
              <w:t>1.8494</w:t>
            </w:r>
          </w:p>
        </w:tc>
        <w:tc>
          <w:tcPr>
            <w:tcW w:w="0" w:type="auto"/>
            <w:tcBorders>
              <w:top w:val="nil"/>
              <w:left w:val="nil"/>
              <w:bottom w:val="nil"/>
              <w:right w:val="nil"/>
            </w:tcBorders>
            <w:shd w:val="clear" w:color="auto" w:fill="auto"/>
            <w:noWrap/>
            <w:vAlign w:val="center"/>
            <w:hideMark/>
          </w:tcPr>
          <w:p w14:paraId="71AAB6F6" w14:textId="77777777" w:rsidR="0065555D" w:rsidRPr="008C6292" w:rsidRDefault="0065555D" w:rsidP="007049D5">
            <w:pPr>
              <w:spacing w:line="240" w:lineRule="auto"/>
              <w:jc w:val="center"/>
              <w:rPr>
                <w:sz w:val="19"/>
                <w:szCs w:val="19"/>
              </w:rPr>
            </w:pPr>
            <w:r w:rsidRPr="008C6292">
              <w:rPr>
                <w:sz w:val="19"/>
                <w:szCs w:val="19"/>
              </w:rPr>
              <w:t>(1.3578)</w:t>
            </w:r>
          </w:p>
        </w:tc>
        <w:tc>
          <w:tcPr>
            <w:tcW w:w="0" w:type="auto"/>
            <w:tcBorders>
              <w:top w:val="nil"/>
              <w:left w:val="nil"/>
              <w:bottom w:val="nil"/>
              <w:right w:val="nil"/>
            </w:tcBorders>
            <w:shd w:val="clear" w:color="auto" w:fill="auto"/>
            <w:noWrap/>
            <w:vAlign w:val="center"/>
          </w:tcPr>
          <w:p w14:paraId="3D39EBC3" w14:textId="77777777" w:rsidR="0065555D" w:rsidRPr="008C6292" w:rsidRDefault="0065555D" w:rsidP="007049D5">
            <w:pPr>
              <w:spacing w:line="240" w:lineRule="auto"/>
              <w:jc w:val="center"/>
              <w:rPr>
                <w:sz w:val="19"/>
                <w:szCs w:val="19"/>
              </w:rPr>
            </w:pPr>
            <w:r w:rsidRPr="008C6292">
              <w:rPr>
                <w:sz w:val="19"/>
                <w:szCs w:val="19"/>
              </w:rPr>
              <w:t>0.8810</w:t>
            </w:r>
          </w:p>
        </w:tc>
        <w:tc>
          <w:tcPr>
            <w:tcW w:w="0" w:type="auto"/>
            <w:tcBorders>
              <w:top w:val="nil"/>
              <w:left w:val="nil"/>
              <w:bottom w:val="nil"/>
              <w:right w:val="nil"/>
            </w:tcBorders>
            <w:shd w:val="clear" w:color="auto" w:fill="auto"/>
            <w:noWrap/>
            <w:vAlign w:val="center"/>
          </w:tcPr>
          <w:p w14:paraId="72165CFF" w14:textId="77777777" w:rsidR="0065555D" w:rsidRPr="008C6292" w:rsidRDefault="0065555D" w:rsidP="007049D5">
            <w:pPr>
              <w:spacing w:line="240" w:lineRule="auto"/>
              <w:jc w:val="center"/>
              <w:rPr>
                <w:sz w:val="19"/>
                <w:szCs w:val="19"/>
              </w:rPr>
            </w:pPr>
            <w:r w:rsidRPr="008C6292">
              <w:rPr>
                <w:sz w:val="19"/>
                <w:szCs w:val="19"/>
              </w:rPr>
              <w:t>(0.5779)</w:t>
            </w:r>
          </w:p>
        </w:tc>
      </w:tr>
      <w:tr w:rsidR="0065555D" w:rsidRPr="008C6292" w14:paraId="7BC249B6"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4E491AD1" w14:textId="77777777" w:rsidR="0065555D" w:rsidRPr="008C6292" w:rsidRDefault="0065555D" w:rsidP="007049D5">
            <w:pPr>
              <w:spacing w:after="0" w:line="240" w:lineRule="auto"/>
              <w:jc w:val="left"/>
              <w:rPr>
                <w:rFonts w:eastAsia="Times New Roman" w:cs="Times New Roman"/>
                <w:color w:val="000000"/>
                <w:sz w:val="19"/>
                <w:szCs w:val="19"/>
              </w:rPr>
            </w:pPr>
            <w:r w:rsidRPr="008C6292">
              <w:rPr>
                <w:rFonts w:eastAsia="Times New Roman" w:cs="Times New Roman"/>
                <w:color w:val="000000"/>
                <w:sz w:val="19"/>
                <w:szCs w:val="19"/>
              </w:rPr>
              <w:t>Amortization Rate</w:t>
            </w:r>
          </w:p>
        </w:tc>
        <w:tc>
          <w:tcPr>
            <w:tcW w:w="0" w:type="auto"/>
            <w:tcBorders>
              <w:top w:val="nil"/>
              <w:left w:val="nil"/>
              <w:bottom w:val="nil"/>
              <w:right w:val="nil"/>
            </w:tcBorders>
            <w:shd w:val="clear" w:color="auto" w:fill="auto"/>
            <w:noWrap/>
            <w:vAlign w:val="center"/>
            <w:hideMark/>
          </w:tcPr>
          <w:p w14:paraId="6596ABC6" w14:textId="77777777" w:rsidR="0065555D" w:rsidRPr="008C6292" w:rsidRDefault="0065555D" w:rsidP="007049D5">
            <w:pPr>
              <w:spacing w:line="240" w:lineRule="auto"/>
              <w:jc w:val="center"/>
              <w:rPr>
                <w:sz w:val="19"/>
                <w:szCs w:val="19"/>
              </w:rPr>
            </w:pPr>
            <w:r w:rsidRPr="008C6292">
              <w:rPr>
                <w:sz w:val="19"/>
                <w:szCs w:val="19"/>
              </w:rPr>
              <w:t>-0.2017</w:t>
            </w:r>
          </w:p>
        </w:tc>
        <w:tc>
          <w:tcPr>
            <w:tcW w:w="0" w:type="auto"/>
            <w:tcBorders>
              <w:top w:val="nil"/>
              <w:left w:val="nil"/>
              <w:bottom w:val="nil"/>
              <w:right w:val="nil"/>
            </w:tcBorders>
            <w:shd w:val="clear" w:color="auto" w:fill="auto"/>
            <w:noWrap/>
            <w:vAlign w:val="center"/>
            <w:hideMark/>
          </w:tcPr>
          <w:p w14:paraId="6048C1B0" w14:textId="77777777" w:rsidR="0065555D" w:rsidRPr="008C6292" w:rsidRDefault="0065555D" w:rsidP="007049D5">
            <w:pPr>
              <w:spacing w:line="240" w:lineRule="auto"/>
              <w:jc w:val="center"/>
              <w:rPr>
                <w:sz w:val="19"/>
                <w:szCs w:val="19"/>
              </w:rPr>
            </w:pPr>
            <w:r w:rsidRPr="008C6292">
              <w:rPr>
                <w:sz w:val="19"/>
                <w:szCs w:val="19"/>
              </w:rPr>
              <w:t>(-2.1171)</w:t>
            </w:r>
          </w:p>
        </w:tc>
        <w:tc>
          <w:tcPr>
            <w:tcW w:w="0" w:type="auto"/>
            <w:tcBorders>
              <w:top w:val="nil"/>
              <w:left w:val="nil"/>
              <w:bottom w:val="nil"/>
              <w:right w:val="nil"/>
            </w:tcBorders>
            <w:shd w:val="clear" w:color="auto" w:fill="auto"/>
            <w:noWrap/>
            <w:vAlign w:val="center"/>
          </w:tcPr>
          <w:p w14:paraId="623B7951" w14:textId="77777777" w:rsidR="0065555D" w:rsidRPr="008C6292" w:rsidRDefault="0065555D" w:rsidP="007049D5">
            <w:pPr>
              <w:spacing w:line="240" w:lineRule="auto"/>
              <w:jc w:val="center"/>
              <w:rPr>
                <w:sz w:val="19"/>
                <w:szCs w:val="19"/>
              </w:rPr>
            </w:pPr>
            <w:r w:rsidRPr="008C6292">
              <w:rPr>
                <w:sz w:val="19"/>
                <w:szCs w:val="19"/>
              </w:rPr>
              <w:t>-0.1513</w:t>
            </w:r>
          </w:p>
        </w:tc>
        <w:tc>
          <w:tcPr>
            <w:tcW w:w="0" w:type="auto"/>
            <w:tcBorders>
              <w:top w:val="nil"/>
              <w:left w:val="nil"/>
              <w:bottom w:val="nil"/>
              <w:right w:val="nil"/>
            </w:tcBorders>
            <w:shd w:val="clear" w:color="auto" w:fill="auto"/>
            <w:noWrap/>
            <w:vAlign w:val="center"/>
          </w:tcPr>
          <w:p w14:paraId="1EAA0659" w14:textId="77777777" w:rsidR="0065555D" w:rsidRPr="008C6292" w:rsidRDefault="0065555D" w:rsidP="007049D5">
            <w:pPr>
              <w:spacing w:line="240" w:lineRule="auto"/>
              <w:jc w:val="center"/>
              <w:rPr>
                <w:sz w:val="19"/>
                <w:szCs w:val="19"/>
              </w:rPr>
            </w:pPr>
            <w:r w:rsidRPr="008C6292">
              <w:rPr>
                <w:sz w:val="19"/>
                <w:szCs w:val="19"/>
              </w:rPr>
              <w:t>(-1.5563)</w:t>
            </w:r>
          </w:p>
        </w:tc>
      </w:tr>
      <w:tr w:rsidR="0065555D" w:rsidRPr="008C6292" w14:paraId="70ADE7BE"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6792D2F6" w14:textId="77777777" w:rsidR="0065555D" w:rsidRPr="008C6292" w:rsidRDefault="0065555D" w:rsidP="007049D5">
            <w:pPr>
              <w:spacing w:after="0" w:line="240" w:lineRule="auto"/>
              <w:jc w:val="left"/>
              <w:rPr>
                <w:rFonts w:eastAsia="Times New Roman" w:cs="Times New Roman"/>
                <w:color w:val="000000"/>
                <w:sz w:val="19"/>
                <w:szCs w:val="19"/>
              </w:rPr>
            </w:pPr>
            <w:r w:rsidRPr="008C6292">
              <w:rPr>
                <w:rFonts w:eastAsia="Times New Roman" w:cs="Times New Roman"/>
                <w:color w:val="000000"/>
                <w:sz w:val="19"/>
                <w:szCs w:val="19"/>
              </w:rPr>
              <w:t>Occupancy Rate</w:t>
            </w:r>
          </w:p>
        </w:tc>
        <w:tc>
          <w:tcPr>
            <w:tcW w:w="0" w:type="auto"/>
            <w:tcBorders>
              <w:top w:val="nil"/>
              <w:left w:val="nil"/>
              <w:bottom w:val="nil"/>
              <w:right w:val="nil"/>
            </w:tcBorders>
            <w:shd w:val="clear" w:color="auto" w:fill="auto"/>
            <w:noWrap/>
            <w:vAlign w:val="center"/>
            <w:hideMark/>
          </w:tcPr>
          <w:p w14:paraId="06B40D59" w14:textId="77777777" w:rsidR="0065555D" w:rsidRPr="008C6292" w:rsidRDefault="0065555D" w:rsidP="007049D5">
            <w:pPr>
              <w:spacing w:line="240" w:lineRule="auto"/>
              <w:jc w:val="center"/>
              <w:rPr>
                <w:sz w:val="19"/>
                <w:szCs w:val="19"/>
              </w:rPr>
            </w:pPr>
            <w:r w:rsidRPr="008C6292">
              <w:rPr>
                <w:sz w:val="19"/>
                <w:szCs w:val="19"/>
              </w:rPr>
              <w:t>-0.0013</w:t>
            </w:r>
          </w:p>
        </w:tc>
        <w:tc>
          <w:tcPr>
            <w:tcW w:w="0" w:type="auto"/>
            <w:tcBorders>
              <w:top w:val="nil"/>
              <w:left w:val="nil"/>
              <w:bottom w:val="nil"/>
              <w:right w:val="nil"/>
            </w:tcBorders>
            <w:shd w:val="clear" w:color="auto" w:fill="auto"/>
            <w:noWrap/>
            <w:vAlign w:val="center"/>
            <w:hideMark/>
          </w:tcPr>
          <w:p w14:paraId="4470CAFA" w14:textId="77777777" w:rsidR="0065555D" w:rsidRPr="008C6292" w:rsidRDefault="0065555D" w:rsidP="007049D5">
            <w:pPr>
              <w:spacing w:line="240" w:lineRule="auto"/>
              <w:jc w:val="center"/>
              <w:rPr>
                <w:sz w:val="19"/>
                <w:szCs w:val="19"/>
              </w:rPr>
            </w:pPr>
            <w:r w:rsidRPr="008C6292">
              <w:rPr>
                <w:sz w:val="19"/>
                <w:szCs w:val="19"/>
              </w:rPr>
              <w:t>(-2.1763)</w:t>
            </w:r>
          </w:p>
        </w:tc>
        <w:tc>
          <w:tcPr>
            <w:tcW w:w="0" w:type="auto"/>
            <w:tcBorders>
              <w:top w:val="nil"/>
              <w:left w:val="nil"/>
              <w:bottom w:val="nil"/>
              <w:right w:val="nil"/>
            </w:tcBorders>
            <w:shd w:val="clear" w:color="auto" w:fill="auto"/>
            <w:noWrap/>
            <w:vAlign w:val="center"/>
          </w:tcPr>
          <w:p w14:paraId="3627A2C7" w14:textId="77777777" w:rsidR="0065555D" w:rsidRPr="008C6292" w:rsidRDefault="0065555D" w:rsidP="007049D5">
            <w:pPr>
              <w:spacing w:line="240" w:lineRule="auto"/>
              <w:jc w:val="center"/>
              <w:rPr>
                <w:sz w:val="19"/>
                <w:szCs w:val="19"/>
              </w:rPr>
            </w:pPr>
            <w:r w:rsidRPr="008C6292">
              <w:rPr>
                <w:sz w:val="19"/>
                <w:szCs w:val="19"/>
              </w:rPr>
              <w:t>-0.0013</w:t>
            </w:r>
          </w:p>
        </w:tc>
        <w:tc>
          <w:tcPr>
            <w:tcW w:w="0" w:type="auto"/>
            <w:tcBorders>
              <w:top w:val="nil"/>
              <w:left w:val="nil"/>
              <w:bottom w:val="nil"/>
              <w:right w:val="nil"/>
            </w:tcBorders>
            <w:shd w:val="clear" w:color="auto" w:fill="auto"/>
            <w:noWrap/>
            <w:vAlign w:val="center"/>
          </w:tcPr>
          <w:p w14:paraId="299C6A7C" w14:textId="77777777" w:rsidR="0065555D" w:rsidRPr="008C6292" w:rsidRDefault="0065555D" w:rsidP="007049D5">
            <w:pPr>
              <w:spacing w:line="240" w:lineRule="auto"/>
              <w:jc w:val="center"/>
              <w:rPr>
                <w:sz w:val="19"/>
                <w:szCs w:val="19"/>
              </w:rPr>
            </w:pPr>
            <w:r w:rsidRPr="008C6292">
              <w:rPr>
                <w:sz w:val="19"/>
                <w:szCs w:val="19"/>
              </w:rPr>
              <w:t>(-1.9309)</w:t>
            </w:r>
          </w:p>
        </w:tc>
      </w:tr>
      <w:tr w:rsidR="0065555D" w:rsidRPr="008C6292" w14:paraId="62936B91"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5AA055EA" w14:textId="77777777" w:rsidR="0065555D" w:rsidRPr="008C6292" w:rsidRDefault="0065555D" w:rsidP="007049D5">
            <w:pPr>
              <w:spacing w:after="0" w:line="240" w:lineRule="auto"/>
              <w:jc w:val="left"/>
              <w:rPr>
                <w:rFonts w:eastAsia="Times New Roman" w:cs="Times New Roman"/>
                <w:color w:val="000000"/>
                <w:sz w:val="19"/>
                <w:szCs w:val="19"/>
              </w:rPr>
            </w:pPr>
            <w:r w:rsidRPr="008C6292">
              <w:rPr>
                <w:rFonts w:eastAsia="Times New Roman" w:cs="Times New Roman"/>
                <w:color w:val="000000"/>
                <w:sz w:val="19"/>
                <w:szCs w:val="19"/>
              </w:rPr>
              <w:t>Log(Property Age)</w:t>
            </w:r>
          </w:p>
        </w:tc>
        <w:tc>
          <w:tcPr>
            <w:tcW w:w="0" w:type="auto"/>
            <w:tcBorders>
              <w:top w:val="nil"/>
              <w:left w:val="nil"/>
              <w:bottom w:val="nil"/>
              <w:right w:val="nil"/>
            </w:tcBorders>
            <w:shd w:val="clear" w:color="auto" w:fill="auto"/>
            <w:noWrap/>
            <w:vAlign w:val="center"/>
            <w:hideMark/>
          </w:tcPr>
          <w:p w14:paraId="540CCF71" w14:textId="77777777" w:rsidR="0065555D" w:rsidRPr="008C6292" w:rsidRDefault="0065555D" w:rsidP="007049D5">
            <w:pPr>
              <w:spacing w:line="240" w:lineRule="auto"/>
              <w:jc w:val="center"/>
              <w:rPr>
                <w:sz w:val="19"/>
                <w:szCs w:val="19"/>
              </w:rPr>
            </w:pPr>
            <w:r w:rsidRPr="008C6292">
              <w:rPr>
                <w:sz w:val="19"/>
                <w:szCs w:val="19"/>
              </w:rPr>
              <w:t>0.0267</w:t>
            </w:r>
          </w:p>
        </w:tc>
        <w:tc>
          <w:tcPr>
            <w:tcW w:w="0" w:type="auto"/>
            <w:tcBorders>
              <w:top w:val="nil"/>
              <w:left w:val="nil"/>
              <w:bottom w:val="nil"/>
              <w:right w:val="nil"/>
            </w:tcBorders>
            <w:shd w:val="clear" w:color="auto" w:fill="auto"/>
            <w:noWrap/>
            <w:vAlign w:val="center"/>
            <w:hideMark/>
          </w:tcPr>
          <w:p w14:paraId="0A7F0F4D" w14:textId="77777777" w:rsidR="0065555D" w:rsidRPr="008C6292" w:rsidRDefault="0065555D" w:rsidP="007049D5">
            <w:pPr>
              <w:spacing w:line="240" w:lineRule="auto"/>
              <w:jc w:val="center"/>
              <w:rPr>
                <w:sz w:val="19"/>
                <w:szCs w:val="19"/>
              </w:rPr>
            </w:pPr>
            <w:r w:rsidRPr="008C6292">
              <w:rPr>
                <w:sz w:val="19"/>
                <w:szCs w:val="19"/>
              </w:rPr>
              <w:t>(5.5492)</w:t>
            </w:r>
          </w:p>
        </w:tc>
        <w:tc>
          <w:tcPr>
            <w:tcW w:w="0" w:type="auto"/>
            <w:tcBorders>
              <w:top w:val="nil"/>
              <w:left w:val="nil"/>
              <w:bottom w:val="nil"/>
              <w:right w:val="nil"/>
            </w:tcBorders>
            <w:shd w:val="clear" w:color="auto" w:fill="auto"/>
            <w:noWrap/>
            <w:vAlign w:val="center"/>
          </w:tcPr>
          <w:p w14:paraId="477AAA01" w14:textId="77777777" w:rsidR="0065555D" w:rsidRPr="008C6292" w:rsidRDefault="0065555D" w:rsidP="007049D5">
            <w:pPr>
              <w:spacing w:line="240" w:lineRule="auto"/>
              <w:jc w:val="center"/>
              <w:rPr>
                <w:sz w:val="19"/>
                <w:szCs w:val="19"/>
              </w:rPr>
            </w:pPr>
            <w:r w:rsidRPr="008C6292">
              <w:rPr>
                <w:sz w:val="19"/>
                <w:szCs w:val="19"/>
              </w:rPr>
              <w:t>0.0274</w:t>
            </w:r>
          </w:p>
        </w:tc>
        <w:tc>
          <w:tcPr>
            <w:tcW w:w="0" w:type="auto"/>
            <w:tcBorders>
              <w:top w:val="nil"/>
              <w:left w:val="nil"/>
              <w:bottom w:val="nil"/>
              <w:right w:val="nil"/>
            </w:tcBorders>
            <w:shd w:val="clear" w:color="auto" w:fill="auto"/>
            <w:noWrap/>
            <w:vAlign w:val="center"/>
          </w:tcPr>
          <w:p w14:paraId="47D8C892" w14:textId="77777777" w:rsidR="0065555D" w:rsidRPr="008C6292" w:rsidRDefault="0065555D" w:rsidP="007049D5">
            <w:pPr>
              <w:spacing w:line="240" w:lineRule="auto"/>
              <w:jc w:val="center"/>
              <w:rPr>
                <w:sz w:val="19"/>
                <w:szCs w:val="19"/>
              </w:rPr>
            </w:pPr>
            <w:r w:rsidRPr="008C6292">
              <w:rPr>
                <w:sz w:val="19"/>
                <w:szCs w:val="19"/>
              </w:rPr>
              <w:t>(5.5918)</w:t>
            </w:r>
          </w:p>
        </w:tc>
      </w:tr>
      <w:tr w:rsidR="0065555D" w:rsidRPr="008C6292" w14:paraId="7CDD7201"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4C929468" w14:textId="77777777" w:rsidR="0065555D" w:rsidRPr="008C6292" w:rsidRDefault="0065555D" w:rsidP="007049D5">
            <w:pPr>
              <w:spacing w:after="0" w:line="240" w:lineRule="auto"/>
              <w:jc w:val="left"/>
              <w:rPr>
                <w:rFonts w:eastAsia="Times New Roman" w:cs="Times New Roman"/>
                <w:color w:val="000000"/>
                <w:sz w:val="19"/>
                <w:szCs w:val="19"/>
              </w:rPr>
            </w:pPr>
            <w:r w:rsidRPr="008C6292">
              <w:rPr>
                <w:rFonts w:eastAsia="Times New Roman" w:cs="Times New Roman"/>
                <w:color w:val="000000"/>
                <w:sz w:val="19"/>
                <w:szCs w:val="19"/>
              </w:rPr>
              <w:t>Years to Maturity</w:t>
            </w:r>
          </w:p>
        </w:tc>
        <w:tc>
          <w:tcPr>
            <w:tcW w:w="0" w:type="auto"/>
            <w:tcBorders>
              <w:top w:val="nil"/>
              <w:left w:val="nil"/>
              <w:bottom w:val="nil"/>
              <w:right w:val="nil"/>
            </w:tcBorders>
            <w:shd w:val="clear" w:color="auto" w:fill="auto"/>
            <w:noWrap/>
            <w:vAlign w:val="center"/>
            <w:hideMark/>
          </w:tcPr>
          <w:p w14:paraId="2E5447DA" w14:textId="77777777" w:rsidR="0065555D" w:rsidRPr="008C6292" w:rsidRDefault="0065555D" w:rsidP="007049D5">
            <w:pPr>
              <w:spacing w:line="240" w:lineRule="auto"/>
              <w:jc w:val="center"/>
              <w:rPr>
                <w:sz w:val="19"/>
                <w:szCs w:val="19"/>
              </w:rPr>
            </w:pPr>
            <w:r w:rsidRPr="008C6292">
              <w:rPr>
                <w:sz w:val="19"/>
                <w:szCs w:val="19"/>
              </w:rPr>
              <w:t>-0.0355</w:t>
            </w:r>
          </w:p>
        </w:tc>
        <w:tc>
          <w:tcPr>
            <w:tcW w:w="0" w:type="auto"/>
            <w:tcBorders>
              <w:top w:val="nil"/>
              <w:left w:val="nil"/>
              <w:bottom w:val="nil"/>
              <w:right w:val="nil"/>
            </w:tcBorders>
            <w:shd w:val="clear" w:color="auto" w:fill="auto"/>
            <w:noWrap/>
            <w:vAlign w:val="center"/>
            <w:hideMark/>
          </w:tcPr>
          <w:p w14:paraId="72554983" w14:textId="77777777" w:rsidR="0065555D" w:rsidRPr="008C6292" w:rsidRDefault="0065555D" w:rsidP="007049D5">
            <w:pPr>
              <w:spacing w:line="240" w:lineRule="auto"/>
              <w:jc w:val="center"/>
              <w:rPr>
                <w:sz w:val="19"/>
                <w:szCs w:val="19"/>
              </w:rPr>
            </w:pPr>
            <w:r w:rsidRPr="008C6292">
              <w:rPr>
                <w:sz w:val="19"/>
                <w:szCs w:val="19"/>
              </w:rPr>
              <w:t>(-5.1393)</w:t>
            </w:r>
          </w:p>
        </w:tc>
        <w:tc>
          <w:tcPr>
            <w:tcW w:w="0" w:type="auto"/>
            <w:tcBorders>
              <w:top w:val="nil"/>
              <w:left w:val="nil"/>
              <w:bottom w:val="nil"/>
              <w:right w:val="nil"/>
            </w:tcBorders>
            <w:shd w:val="clear" w:color="auto" w:fill="auto"/>
            <w:noWrap/>
            <w:vAlign w:val="center"/>
          </w:tcPr>
          <w:p w14:paraId="4CF22631" w14:textId="77777777" w:rsidR="0065555D" w:rsidRPr="008C6292" w:rsidRDefault="0065555D" w:rsidP="007049D5">
            <w:pPr>
              <w:spacing w:line="240" w:lineRule="auto"/>
              <w:jc w:val="center"/>
              <w:rPr>
                <w:sz w:val="19"/>
                <w:szCs w:val="19"/>
              </w:rPr>
            </w:pPr>
            <w:r w:rsidRPr="008C6292">
              <w:rPr>
                <w:sz w:val="19"/>
                <w:szCs w:val="19"/>
              </w:rPr>
              <w:t>-0.0378</w:t>
            </w:r>
          </w:p>
        </w:tc>
        <w:tc>
          <w:tcPr>
            <w:tcW w:w="0" w:type="auto"/>
            <w:tcBorders>
              <w:top w:val="nil"/>
              <w:left w:val="nil"/>
              <w:bottom w:val="nil"/>
              <w:right w:val="nil"/>
            </w:tcBorders>
            <w:shd w:val="clear" w:color="auto" w:fill="auto"/>
            <w:noWrap/>
            <w:vAlign w:val="center"/>
          </w:tcPr>
          <w:p w14:paraId="00B00C88" w14:textId="77777777" w:rsidR="0065555D" w:rsidRPr="008C6292" w:rsidRDefault="0065555D" w:rsidP="007049D5">
            <w:pPr>
              <w:spacing w:line="240" w:lineRule="auto"/>
              <w:jc w:val="center"/>
              <w:rPr>
                <w:sz w:val="19"/>
                <w:szCs w:val="19"/>
              </w:rPr>
            </w:pPr>
            <w:r w:rsidRPr="008C6292">
              <w:rPr>
                <w:sz w:val="19"/>
                <w:szCs w:val="19"/>
              </w:rPr>
              <w:t>(-5.3869)</w:t>
            </w:r>
          </w:p>
        </w:tc>
      </w:tr>
      <w:tr w:rsidR="0065555D" w:rsidRPr="008C6292" w14:paraId="1CBB2A9C" w14:textId="77777777" w:rsidTr="00FB3903">
        <w:trPr>
          <w:trHeight w:val="264"/>
          <w:jc w:val="center"/>
        </w:trPr>
        <w:tc>
          <w:tcPr>
            <w:tcW w:w="0" w:type="auto"/>
            <w:tcBorders>
              <w:top w:val="nil"/>
              <w:left w:val="nil"/>
              <w:bottom w:val="nil"/>
              <w:right w:val="nil"/>
            </w:tcBorders>
            <w:shd w:val="clear" w:color="auto" w:fill="auto"/>
            <w:noWrap/>
            <w:vAlign w:val="bottom"/>
            <w:hideMark/>
          </w:tcPr>
          <w:p w14:paraId="566B7DD5" w14:textId="77777777" w:rsidR="0065555D" w:rsidRPr="008C6292" w:rsidRDefault="0065555D" w:rsidP="00FB3903">
            <w:pPr>
              <w:spacing w:after="0" w:line="240" w:lineRule="auto"/>
              <w:jc w:val="center"/>
              <w:rPr>
                <w:rFonts w:eastAsia="Times New Roman" w:cs="Times New Roman"/>
                <w:sz w:val="19"/>
                <w:szCs w:val="19"/>
              </w:rPr>
            </w:pPr>
          </w:p>
        </w:tc>
        <w:tc>
          <w:tcPr>
            <w:tcW w:w="0" w:type="auto"/>
            <w:tcBorders>
              <w:top w:val="nil"/>
              <w:left w:val="nil"/>
              <w:bottom w:val="nil"/>
              <w:right w:val="nil"/>
            </w:tcBorders>
            <w:shd w:val="clear" w:color="auto" w:fill="auto"/>
            <w:noWrap/>
            <w:vAlign w:val="bottom"/>
            <w:hideMark/>
          </w:tcPr>
          <w:p w14:paraId="74C7484A" w14:textId="77777777" w:rsidR="0065555D" w:rsidRPr="008C6292" w:rsidRDefault="0065555D" w:rsidP="00FB3903">
            <w:pPr>
              <w:spacing w:after="0" w:line="240" w:lineRule="auto"/>
              <w:jc w:val="center"/>
              <w:rPr>
                <w:rFonts w:eastAsia="Times New Roman" w:cs="Times New Roman"/>
                <w:sz w:val="19"/>
                <w:szCs w:val="19"/>
              </w:rPr>
            </w:pPr>
          </w:p>
        </w:tc>
        <w:tc>
          <w:tcPr>
            <w:tcW w:w="0" w:type="auto"/>
            <w:tcBorders>
              <w:top w:val="nil"/>
              <w:left w:val="nil"/>
              <w:bottom w:val="nil"/>
              <w:right w:val="nil"/>
            </w:tcBorders>
            <w:shd w:val="clear" w:color="auto" w:fill="auto"/>
            <w:noWrap/>
            <w:vAlign w:val="bottom"/>
            <w:hideMark/>
          </w:tcPr>
          <w:p w14:paraId="1C2D3F03" w14:textId="77777777" w:rsidR="0065555D" w:rsidRPr="008C6292" w:rsidRDefault="0065555D" w:rsidP="00FB3903">
            <w:pPr>
              <w:spacing w:after="0" w:line="240" w:lineRule="auto"/>
              <w:jc w:val="center"/>
              <w:rPr>
                <w:rFonts w:eastAsia="Times New Roman" w:cs="Times New Roman"/>
                <w:sz w:val="19"/>
                <w:szCs w:val="19"/>
              </w:rPr>
            </w:pPr>
          </w:p>
        </w:tc>
        <w:tc>
          <w:tcPr>
            <w:tcW w:w="0" w:type="auto"/>
            <w:tcBorders>
              <w:top w:val="nil"/>
              <w:left w:val="nil"/>
              <w:bottom w:val="nil"/>
              <w:right w:val="nil"/>
            </w:tcBorders>
            <w:shd w:val="clear" w:color="auto" w:fill="auto"/>
            <w:noWrap/>
            <w:vAlign w:val="bottom"/>
          </w:tcPr>
          <w:p w14:paraId="0ED720F2" w14:textId="77777777" w:rsidR="0065555D" w:rsidRPr="008C6292" w:rsidRDefault="0065555D" w:rsidP="00FB3903">
            <w:pPr>
              <w:spacing w:after="0" w:line="240" w:lineRule="auto"/>
              <w:jc w:val="center"/>
              <w:rPr>
                <w:rFonts w:eastAsia="Times New Roman" w:cs="Times New Roman"/>
                <w:sz w:val="19"/>
                <w:szCs w:val="19"/>
              </w:rPr>
            </w:pPr>
          </w:p>
        </w:tc>
        <w:tc>
          <w:tcPr>
            <w:tcW w:w="0" w:type="auto"/>
            <w:tcBorders>
              <w:top w:val="nil"/>
              <w:left w:val="nil"/>
              <w:bottom w:val="nil"/>
              <w:right w:val="nil"/>
            </w:tcBorders>
            <w:shd w:val="clear" w:color="auto" w:fill="auto"/>
            <w:noWrap/>
            <w:vAlign w:val="bottom"/>
          </w:tcPr>
          <w:p w14:paraId="6E17A8FF" w14:textId="77777777" w:rsidR="0065555D" w:rsidRPr="008C6292" w:rsidRDefault="0065555D" w:rsidP="00FB3903">
            <w:pPr>
              <w:spacing w:after="0" w:line="240" w:lineRule="auto"/>
              <w:jc w:val="center"/>
              <w:rPr>
                <w:rFonts w:eastAsia="Times New Roman" w:cs="Times New Roman"/>
                <w:sz w:val="19"/>
                <w:szCs w:val="19"/>
              </w:rPr>
            </w:pPr>
          </w:p>
        </w:tc>
      </w:tr>
      <w:tr w:rsidR="0065555D" w:rsidRPr="008C6292" w14:paraId="5F8447CC"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535E72C5" w14:textId="77777777" w:rsidR="0065555D" w:rsidRPr="008C6292" w:rsidRDefault="0065555D" w:rsidP="007049D5">
            <w:pPr>
              <w:spacing w:after="0" w:line="240" w:lineRule="auto"/>
              <w:jc w:val="left"/>
              <w:rPr>
                <w:rFonts w:eastAsia="Times New Roman" w:cs="Times New Roman"/>
                <w:sz w:val="19"/>
                <w:szCs w:val="19"/>
              </w:rPr>
            </w:pPr>
            <w:r w:rsidRPr="008C6292">
              <w:rPr>
                <w:rFonts w:eastAsia="Times New Roman" w:cs="Times New Roman"/>
                <w:sz w:val="19"/>
                <w:szCs w:val="19"/>
              </w:rPr>
              <w:t>Month FE</w:t>
            </w:r>
          </w:p>
        </w:tc>
        <w:tc>
          <w:tcPr>
            <w:tcW w:w="0" w:type="auto"/>
            <w:gridSpan w:val="2"/>
            <w:tcBorders>
              <w:top w:val="nil"/>
              <w:left w:val="nil"/>
              <w:bottom w:val="nil"/>
              <w:right w:val="nil"/>
            </w:tcBorders>
            <w:shd w:val="clear" w:color="auto" w:fill="auto"/>
            <w:noWrap/>
            <w:vAlign w:val="center"/>
            <w:hideMark/>
          </w:tcPr>
          <w:p w14:paraId="6965D012" w14:textId="77777777" w:rsidR="0065555D" w:rsidRPr="008C6292" w:rsidRDefault="0065555D" w:rsidP="007049D5">
            <w:pPr>
              <w:spacing w:after="0" w:line="240" w:lineRule="auto"/>
              <w:jc w:val="center"/>
              <w:rPr>
                <w:rFonts w:eastAsia="Times New Roman" w:cs="Times New Roman"/>
                <w:sz w:val="19"/>
                <w:szCs w:val="19"/>
              </w:rPr>
            </w:pPr>
            <w:r w:rsidRPr="008C6292">
              <w:rPr>
                <w:rFonts w:eastAsia="Times New Roman" w:cs="Times New Roman"/>
                <w:sz w:val="19"/>
                <w:szCs w:val="19"/>
              </w:rPr>
              <w:t>Yes</w:t>
            </w:r>
          </w:p>
        </w:tc>
        <w:tc>
          <w:tcPr>
            <w:tcW w:w="0" w:type="auto"/>
            <w:gridSpan w:val="2"/>
            <w:tcBorders>
              <w:top w:val="nil"/>
              <w:left w:val="nil"/>
              <w:bottom w:val="nil"/>
              <w:right w:val="nil"/>
            </w:tcBorders>
            <w:shd w:val="clear" w:color="auto" w:fill="auto"/>
            <w:noWrap/>
            <w:vAlign w:val="center"/>
          </w:tcPr>
          <w:p w14:paraId="01EC40F2" w14:textId="77777777" w:rsidR="0065555D" w:rsidRPr="008C6292" w:rsidRDefault="0065555D" w:rsidP="007049D5">
            <w:pPr>
              <w:spacing w:line="240" w:lineRule="auto"/>
              <w:jc w:val="center"/>
              <w:rPr>
                <w:rFonts w:eastAsia="MS Mincho" w:cs="Times New Roman"/>
                <w:sz w:val="19"/>
                <w:szCs w:val="19"/>
              </w:rPr>
            </w:pPr>
            <w:r w:rsidRPr="008C6292">
              <w:rPr>
                <w:rFonts w:eastAsia="MS Mincho" w:cs="Times New Roman"/>
                <w:sz w:val="19"/>
                <w:szCs w:val="19"/>
              </w:rPr>
              <w:t>Yes</w:t>
            </w:r>
          </w:p>
        </w:tc>
      </w:tr>
      <w:tr w:rsidR="0065555D" w:rsidRPr="008C6292" w14:paraId="361ADD74" w14:textId="77777777" w:rsidTr="007049D5">
        <w:trPr>
          <w:trHeight w:val="264"/>
          <w:jc w:val="center"/>
        </w:trPr>
        <w:tc>
          <w:tcPr>
            <w:tcW w:w="0" w:type="auto"/>
            <w:tcBorders>
              <w:top w:val="nil"/>
              <w:left w:val="nil"/>
              <w:bottom w:val="nil"/>
              <w:right w:val="nil"/>
            </w:tcBorders>
            <w:shd w:val="clear" w:color="auto" w:fill="auto"/>
            <w:noWrap/>
            <w:vAlign w:val="center"/>
            <w:hideMark/>
          </w:tcPr>
          <w:p w14:paraId="70C34CAD" w14:textId="77777777" w:rsidR="0065555D" w:rsidRPr="008C6292" w:rsidRDefault="0065555D" w:rsidP="007049D5">
            <w:pPr>
              <w:spacing w:after="0" w:line="240" w:lineRule="auto"/>
              <w:jc w:val="left"/>
              <w:rPr>
                <w:rFonts w:eastAsia="Times New Roman" w:cs="Times New Roman"/>
                <w:sz w:val="19"/>
                <w:szCs w:val="19"/>
              </w:rPr>
            </w:pPr>
            <w:r w:rsidRPr="008C6292">
              <w:rPr>
                <w:rFonts w:eastAsia="Times New Roman" w:cs="Times New Roman"/>
                <w:sz w:val="19"/>
                <w:szCs w:val="19"/>
              </w:rPr>
              <w:t>Observations</w:t>
            </w:r>
          </w:p>
        </w:tc>
        <w:tc>
          <w:tcPr>
            <w:tcW w:w="0" w:type="auto"/>
            <w:gridSpan w:val="2"/>
            <w:tcBorders>
              <w:top w:val="nil"/>
              <w:left w:val="nil"/>
              <w:bottom w:val="nil"/>
              <w:right w:val="nil"/>
            </w:tcBorders>
            <w:shd w:val="clear" w:color="auto" w:fill="auto"/>
            <w:noWrap/>
            <w:vAlign w:val="center"/>
            <w:hideMark/>
          </w:tcPr>
          <w:p w14:paraId="0F618B73" w14:textId="77777777" w:rsidR="0065555D" w:rsidRPr="008C6292" w:rsidRDefault="0065555D" w:rsidP="007049D5">
            <w:pPr>
              <w:spacing w:after="0" w:line="240" w:lineRule="auto"/>
              <w:jc w:val="center"/>
              <w:rPr>
                <w:rFonts w:eastAsia="Times New Roman" w:cs="Times New Roman"/>
                <w:sz w:val="19"/>
                <w:szCs w:val="19"/>
              </w:rPr>
            </w:pPr>
            <w:r w:rsidRPr="008C6292">
              <w:rPr>
                <w:rFonts w:eastAsia="Times New Roman" w:cs="Times New Roman"/>
                <w:sz w:val="19"/>
                <w:szCs w:val="19"/>
              </w:rPr>
              <w:t>18,739</w:t>
            </w:r>
          </w:p>
        </w:tc>
        <w:tc>
          <w:tcPr>
            <w:tcW w:w="0" w:type="auto"/>
            <w:gridSpan w:val="2"/>
            <w:tcBorders>
              <w:top w:val="nil"/>
              <w:left w:val="nil"/>
              <w:bottom w:val="nil"/>
              <w:right w:val="nil"/>
            </w:tcBorders>
            <w:shd w:val="clear" w:color="auto" w:fill="auto"/>
            <w:noWrap/>
            <w:vAlign w:val="center"/>
          </w:tcPr>
          <w:p w14:paraId="2C2F8555" w14:textId="77777777" w:rsidR="0065555D" w:rsidRPr="008C6292" w:rsidRDefault="0065555D" w:rsidP="007049D5">
            <w:pPr>
              <w:spacing w:line="240" w:lineRule="auto"/>
              <w:jc w:val="center"/>
              <w:rPr>
                <w:rFonts w:eastAsia="MS Mincho" w:cs="Times New Roman"/>
                <w:sz w:val="19"/>
                <w:szCs w:val="19"/>
              </w:rPr>
            </w:pPr>
            <w:r w:rsidRPr="008C6292">
              <w:rPr>
                <w:rFonts w:eastAsia="MS Mincho" w:cs="Times New Roman"/>
                <w:sz w:val="19"/>
                <w:szCs w:val="19"/>
              </w:rPr>
              <w:t>17,324</w:t>
            </w:r>
          </w:p>
        </w:tc>
      </w:tr>
      <w:tr w:rsidR="0065555D" w:rsidRPr="008C6292" w14:paraId="2673425E" w14:textId="77777777" w:rsidTr="007049D5">
        <w:trPr>
          <w:trHeight w:val="264"/>
          <w:jc w:val="center"/>
        </w:trPr>
        <w:tc>
          <w:tcPr>
            <w:tcW w:w="0" w:type="auto"/>
            <w:tcBorders>
              <w:top w:val="nil"/>
              <w:left w:val="nil"/>
              <w:bottom w:val="single" w:sz="4" w:space="0" w:color="auto"/>
              <w:right w:val="nil"/>
            </w:tcBorders>
            <w:shd w:val="clear" w:color="auto" w:fill="auto"/>
            <w:noWrap/>
            <w:vAlign w:val="center"/>
            <w:hideMark/>
          </w:tcPr>
          <w:p w14:paraId="3FAE813C" w14:textId="77777777" w:rsidR="0065555D" w:rsidRPr="008C6292" w:rsidRDefault="0065555D" w:rsidP="007049D5">
            <w:pPr>
              <w:spacing w:after="0" w:line="240" w:lineRule="auto"/>
              <w:jc w:val="left"/>
              <w:rPr>
                <w:rFonts w:eastAsia="Times New Roman" w:cs="Times New Roman"/>
                <w:sz w:val="19"/>
                <w:szCs w:val="19"/>
              </w:rPr>
            </w:pPr>
            <w:r w:rsidRPr="008C6292">
              <w:rPr>
                <w:rFonts w:eastAsia="Times New Roman" w:cs="Times New Roman"/>
                <w:sz w:val="19"/>
                <w:szCs w:val="19"/>
              </w:rPr>
              <w:t>R-squared</w:t>
            </w:r>
          </w:p>
        </w:tc>
        <w:tc>
          <w:tcPr>
            <w:tcW w:w="0" w:type="auto"/>
            <w:gridSpan w:val="2"/>
            <w:tcBorders>
              <w:top w:val="nil"/>
              <w:left w:val="nil"/>
              <w:bottom w:val="single" w:sz="4" w:space="0" w:color="auto"/>
              <w:right w:val="nil"/>
            </w:tcBorders>
            <w:shd w:val="clear" w:color="auto" w:fill="auto"/>
            <w:noWrap/>
            <w:vAlign w:val="center"/>
            <w:hideMark/>
          </w:tcPr>
          <w:p w14:paraId="24A0A953" w14:textId="77777777" w:rsidR="0065555D" w:rsidRPr="008C6292" w:rsidRDefault="0065555D" w:rsidP="007049D5">
            <w:pPr>
              <w:spacing w:after="0" w:line="240" w:lineRule="auto"/>
              <w:jc w:val="center"/>
              <w:rPr>
                <w:rFonts w:eastAsia="Times New Roman" w:cs="Times New Roman"/>
                <w:sz w:val="19"/>
                <w:szCs w:val="19"/>
              </w:rPr>
            </w:pPr>
            <w:r w:rsidRPr="008C6292">
              <w:rPr>
                <w:rFonts w:eastAsia="Times New Roman" w:cs="Times New Roman"/>
                <w:sz w:val="19"/>
                <w:szCs w:val="19"/>
              </w:rPr>
              <w:t>0.</w:t>
            </w:r>
            <w:r>
              <w:rPr>
                <w:rFonts w:eastAsia="Times New Roman" w:cs="Times New Roman"/>
                <w:sz w:val="19"/>
                <w:szCs w:val="19"/>
              </w:rPr>
              <w:t>1735</w:t>
            </w:r>
          </w:p>
        </w:tc>
        <w:tc>
          <w:tcPr>
            <w:tcW w:w="0" w:type="auto"/>
            <w:gridSpan w:val="2"/>
            <w:tcBorders>
              <w:top w:val="nil"/>
              <w:left w:val="nil"/>
              <w:bottom w:val="single" w:sz="4" w:space="0" w:color="auto"/>
              <w:right w:val="nil"/>
            </w:tcBorders>
            <w:shd w:val="clear" w:color="auto" w:fill="auto"/>
            <w:noWrap/>
            <w:vAlign w:val="center"/>
          </w:tcPr>
          <w:p w14:paraId="428C966A" w14:textId="77777777" w:rsidR="0065555D" w:rsidRPr="008C6292" w:rsidRDefault="0065555D" w:rsidP="007049D5">
            <w:pPr>
              <w:spacing w:line="240" w:lineRule="auto"/>
              <w:jc w:val="center"/>
              <w:rPr>
                <w:rFonts w:eastAsia="MS Mincho" w:cs="Times New Roman"/>
                <w:sz w:val="19"/>
                <w:szCs w:val="19"/>
              </w:rPr>
            </w:pPr>
            <w:r w:rsidRPr="008C6292">
              <w:rPr>
                <w:rFonts w:eastAsia="MS Mincho" w:cs="Times New Roman"/>
                <w:sz w:val="19"/>
                <w:szCs w:val="19"/>
              </w:rPr>
              <w:t>0.</w:t>
            </w:r>
            <w:r>
              <w:rPr>
                <w:rFonts w:eastAsia="MS Mincho" w:cs="Times New Roman"/>
                <w:sz w:val="19"/>
                <w:szCs w:val="19"/>
              </w:rPr>
              <w:t>1634</w:t>
            </w:r>
          </w:p>
        </w:tc>
      </w:tr>
    </w:tbl>
    <w:p w14:paraId="2EC5CC2B" w14:textId="77777777" w:rsidR="0065555D" w:rsidRPr="00C22325" w:rsidRDefault="0065555D" w:rsidP="00FB3903"/>
    <w:p w14:paraId="7536540D" w14:textId="77777777" w:rsidR="0065555D" w:rsidRDefault="0065555D" w:rsidP="00FB3903">
      <w:pPr>
        <w:pStyle w:val="Caption"/>
        <w:spacing w:after="0"/>
      </w:pPr>
    </w:p>
    <w:p w14:paraId="40436D09" w14:textId="77777777" w:rsidR="0065555D" w:rsidRDefault="0065555D" w:rsidP="00FB3903">
      <w:pPr>
        <w:pStyle w:val="Caption"/>
        <w:sectPr w:rsidR="0065555D" w:rsidSect="00FB3903">
          <w:pgSz w:w="12240" w:h="15840"/>
          <w:pgMar w:top="1440" w:right="1440" w:bottom="1440" w:left="1440" w:header="720" w:footer="720" w:gutter="0"/>
          <w:cols w:space="720"/>
          <w:docGrid w:linePitch="360"/>
        </w:sectPr>
      </w:pPr>
    </w:p>
    <w:p w14:paraId="75BAC4EA" w14:textId="77777777" w:rsidR="0065555D" w:rsidRPr="00C13B31" w:rsidRDefault="0065555D" w:rsidP="00FB3903">
      <w:pPr>
        <w:pStyle w:val="Caption"/>
        <w:spacing w:after="0"/>
      </w:pPr>
      <w:bookmarkStart w:id="8" w:name="_Ref413079991"/>
      <w:r>
        <w:t xml:space="preserve">Table </w:t>
      </w:r>
      <w:r>
        <w:rPr>
          <w:noProof/>
        </w:rPr>
        <w:t>7</w:t>
      </w:r>
      <w:bookmarkEnd w:id="8"/>
      <w:r>
        <w:t>: Summary Statistics for Loans by Default Group</w:t>
      </w:r>
    </w:p>
    <w:p w14:paraId="19212C43" w14:textId="77777777" w:rsidR="0065555D" w:rsidRPr="008C73FB" w:rsidRDefault="0065555D" w:rsidP="00FB3903">
      <w:pPr>
        <w:spacing w:line="240" w:lineRule="auto"/>
        <w:rPr>
          <w:rFonts w:eastAsia="Times New Roman" w:cs="Times New Roman"/>
        </w:rPr>
      </w:pPr>
      <w:r>
        <w:rPr>
          <w:rFonts w:eastAsia="Times New Roman" w:cs="Times New Roman"/>
        </w:rPr>
        <w:t>The tables break loans into groups of loans that do not eventually default and groups of loans that do eventually default. A</w:t>
      </w:r>
      <w:r w:rsidRPr="008C73FB">
        <w:rPr>
          <w:rFonts w:eastAsia="Times New Roman" w:cs="Times New Roman"/>
        </w:rPr>
        <w:t>verage values for mortgage, property, and tenant characteristics</w:t>
      </w:r>
      <w:r>
        <w:rPr>
          <w:rFonts w:eastAsia="Times New Roman" w:cs="Times New Roman"/>
        </w:rPr>
        <w:t xml:space="preserve"> are shown for each group. Panel A shows statistics for variables used in default regressions that use the percent of square footage occupied by the property’s largest tenant</w:t>
      </w:r>
      <w:r w:rsidRPr="008C73FB">
        <w:rPr>
          <w:rFonts w:eastAsia="Times New Roman" w:cs="Times New Roman"/>
        </w:rPr>
        <w:t>.</w:t>
      </w:r>
      <w:r>
        <w:rPr>
          <w:rFonts w:eastAsia="Times New Roman" w:cs="Times New Roman"/>
        </w:rPr>
        <w:t xml:space="preserve"> Panel B shows statistics for variables used in default regressions that use the property’s HHI, which is computed as follows: </w:t>
      </w:r>
    </w:p>
    <w:p w14:paraId="28ABC582" w14:textId="77777777" w:rsidR="0065555D" w:rsidRPr="00EC23D5" w:rsidRDefault="0065555D" w:rsidP="00FB3903">
      <w:pPr>
        <w:spacing w:line="240" w:lineRule="auto"/>
      </w:pPr>
      <m:oMathPara>
        <m:oMathParaPr>
          <m:jc m:val="left"/>
        </m:oMathParaPr>
        <m:oMath>
          <m:r>
            <w:rPr>
              <w:rFonts w:ascii="Cambria Math" w:hAnsi="Cambria Math"/>
            </w:rPr>
            <m:t>HHI=</m:t>
          </m:r>
          <m:f>
            <m:fPr>
              <m:ctrlPr>
                <w:rPr>
                  <w:rFonts w:ascii="Cambria Math" w:hAnsi="Cambria Math"/>
                  <w:i/>
                </w:rPr>
              </m:ctrlPr>
            </m:fPr>
            <m:num>
              <m:sSup>
                <m:sSupPr>
                  <m:ctrlPr>
                    <w:rPr>
                      <w:rFonts w:ascii="Cambria Math" w:hAnsi="Cambria Math"/>
                      <w:i/>
                    </w:rPr>
                  </m:ctrlPr>
                </m:sSupPr>
                <m:e>
                  <m:r>
                    <w:rPr>
                      <w:rFonts w:ascii="Cambria Math" w:hAnsi="Cambria Math"/>
                    </w:rPr>
                    <m:t>L1%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L2%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L3%</m:t>
                  </m:r>
                </m:e>
                <m:sup>
                  <m:r>
                    <w:rPr>
                      <w:rFonts w:ascii="Cambria Math" w:hAnsi="Cambria Math"/>
                    </w:rPr>
                    <m:t>2</m:t>
                  </m:r>
                </m:sup>
              </m:sSup>
            </m:num>
            <m:den>
              <m:r>
                <w:rPr>
                  <w:rFonts w:ascii="Cambria Math" w:hAnsi="Cambria Math"/>
                </w:rPr>
                <m:t>10,000</m:t>
              </m:r>
            </m:den>
          </m:f>
          <m:r>
            <w:rPr>
              <w:rFonts w:ascii="Cambria Math" w:hAnsi="Cambria Math"/>
            </w:rPr>
            <m:t>×100</m:t>
          </m:r>
          <m:r>
            <m:rPr>
              <m:nor/>
            </m:rPr>
            <w:rPr>
              <w:rFonts w:cs="Times New Roman"/>
            </w:rPr>
            <m:t>,</m:t>
          </m:r>
        </m:oMath>
      </m:oMathPara>
    </w:p>
    <w:p w14:paraId="60C4C46C" w14:textId="77777777" w:rsidR="0065555D" w:rsidRDefault="0065555D" w:rsidP="00FB3903">
      <w:pPr>
        <w:spacing w:line="240" w:lineRule="auto"/>
      </w:pPr>
      <w:r>
        <w:t>where L1% is the percent of square footage occupied by the largest tenant, L2% is the percent of square footage occupied by the 2</w:t>
      </w:r>
      <w:r w:rsidRPr="00EC23D5">
        <w:rPr>
          <w:vertAlign w:val="superscript"/>
        </w:rPr>
        <w:t>nd</w:t>
      </w:r>
      <w:r>
        <w:t xml:space="preserve"> largest tenant, and L3% is the percent of square footage occupied by the 3</w:t>
      </w:r>
      <w:r w:rsidRPr="00EC23D5">
        <w:rPr>
          <w:vertAlign w:val="superscript"/>
        </w:rPr>
        <w:t>rd</w:t>
      </w:r>
      <w:r>
        <w:t xml:space="preserve"> largest tenant.</w:t>
      </w:r>
    </w:p>
    <w:p w14:paraId="77B045E9" w14:textId="77777777" w:rsidR="0065555D" w:rsidRDefault="0065555D" w:rsidP="00FB3903">
      <w:pPr>
        <w:spacing w:line="240" w:lineRule="auto"/>
      </w:pPr>
    </w:p>
    <w:p w14:paraId="40770450" w14:textId="77777777" w:rsidR="0065555D" w:rsidRDefault="0065555D" w:rsidP="00FB3903">
      <w:pPr>
        <w:spacing w:line="240" w:lineRule="auto"/>
      </w:pPr>
      <w:r w:rsidRPr="00C13B31">
        <w:t xml:space="preserve">Panel A: </w:t>
      </w:r>
      <w:r>
        <w:t xml:space="preserve">Summary Statistics by Default Group for </w:t>
      </w:r>
      <w:r w:rsidRPr="00C13B31">
        <w:t>Largest Lessee % Sq. Footage</w:t>
      </w:r>
      <w:r>
        <w:t xml:space="preserve"> Sample</w:t>
      </w:r>
    </w:p>
    <w:tbl>
      <w:tblPr>
        <w:tblW w:w="0" w:type="auto"/>
        <w:jc w:val="center"/>
        <w:tblCellMar>
          <w:left w:w="43" w:type="dxa"/>
          <w:right w:w="43" w:type="dxa"/>
        </w:tblCellMar>
        <w:tblLook w:val="04A0" w:firstRow="1" w:lastRow="0" w:firstColumn="1" w:lastColumn="0" w:noHBand="0" w:noVBand="1"/>
      </w:tblPr>
      <w:tblGrid>
        <w:gridCol w:w="1108"/>
        <w:gridCol w:w="636"/>
        <w:gridCol w:w="686"/>
        <w:gridCol w:w="1116"/>
        <w:gridCol w:w="536"/>
        <w:gridCol w:w="1125"/>
        <w:gridCol w:w="642"/>
        <w:gridCol w:w="1014"/>
        <w:gridCol w:w="1014"/>
        <w:gridCol w:w="536"/>
        <w:gridCol w:w="775"/>
        <w:gridCol w:w="803"/>
        <w:gridCol w:w="659"/>
        <w:gridCol w:w="775"/>
        <w:gridCol w:w="786"/>
        <w:gridCol w:w="609"/>
      </w:tblGrid>
      <w:tr w:rsidR="0065555D" w:rsidRPr="00943501" w14:paraId="1650A5D0" w14:textId="77777777" w:rsidTr="00FB3903">
        <w:trPr>
          <w:trHeight w:val="449"/>
          <w:jc w:val="center"/>
        </w:trPr>
        <w:tc>
          <w:tcPr>
            <w:tcW w:w="0" w:type="auto"/>
            <w:tcBorders>
              <w:top w:val="single" w:sz="4" w:space="0" w:color="auto"/>
              <w:left w:val="nil"/>
              <w:bottom w:val="single" w:sz="4" w:space="0" w:color="auto"/>
              <w:right w:val="nil"/>
            </w:tcBorders>
            <w:shd w:val="clear" w:color="auto" w:fill="auto"/>
            <w:noWrap/>
            <w:vAlign w:val="bottom"/>
            <w:hideMark/>
          </w:tcPr>
          <w:p w14:paraId="30ED56E4" w14:textId="77777777" w:rsidR="0065555D" w:rsidRPr="00943501" w:rsidRDefault="0065555D" w:rsidP="00FB3903">
            <w:pPr>
              <w:spacing w:after="0" w:line="240" w:lineRule="auto"/>
              <w:jc w:val="center"/>
              <w:rPr>
                <w:rFonts w:eastAsia="Times New Roman" w:cs="Times New Roman"/>
                <w:color w:val="000000"/>
                <w:sz w:val="20"/>
                <w:szCs w:val="20"/>
              </w:rPr>
            </w:pPr>
            <w:r w:rsidRPr="00943501">
              <w:rPr>
                <w:rFonts w:eastAsia="Times New Roman" w:cs="Times New Roman"/>
                <w:color w:val="000000"/>
                <w:sz w:val="20"/>
                <w:szCs w:val="20"/>
              </w:rPr>
              <w:t>Eventual</w:t>
            </w:r>
          </w:p>
          <w:p w14:paraId="1C2B3CE6" w14:textId="77777777" w:rsidR="0065555D" w:rsidRPr="00943501" w:rsidRDefault="0065555D" w:rsidP="00FB3903">
            <w:pPr>
              <w:spacing w:after="0" w:line="240" w:lineRule="auto"/>
              <w:jc w:val="center"/>
              <w:rPr>
                <w:rFonts w:eastAsia="Times New Roman" w:cs="Times New Roman"/>
                <w:color w:val="000000"/>
                <w:sz w:val="20"/>
                <w:szCs w:val="20"/>
              </w:rPr>
            </w:pPr>
            <w:r w:rsidRPr="00943501">
              <w:rPr>
                <w:rFonts w:eastAsia="Times New Roman" w:cs="Times New Roman"/>
                <w:color w:val="000000"/>
                <w:sz w:val="20"/>
                <w:szCs w:val="20"/>
              </w:rPr>
              <w:t>90+ Day</w:t>
            </w:r>
          </w:p>
          <w:p w14:paraId="41CC15C0" w14:textId="77777777" w:rsidR="0065555D" w:rsidRPr="00943501" w:rsidRDefault="0065555D" w:rsidP="00FB3903">
            <w:pPr>
              <w:spacing w:after="0" w:line="240" w:lineRule="auto"/>
              <w:jc w:val="center"/>
              <w:rPr>
                <w:rFonts w:eastAsia="Times New Roman" w:cs="Times New Roman"/>
                <w:color w:val="000000"/>
                <w:sz w:val="20"/>
                <w:szCs w:val="20"/>
              </w:rPr>
            </w:pPr>
            <w:r w:rsidRPr="00943501">
              <w:rPr>
                <w:rFonts w:eastAsia="Times New Roman" w:cs="Times New Roman"/>
                <w:color w:val="000000"/>
                <w:sz w:val="20"/>
                <w:szCs w:val="20"/>
              </w:rPr>
              <w:t>Delinquency</w:t>
            </w:r>
          </w:p>
        </w:tc>
        <w:tc>
          <w:tcPr>
            <w:tcW w:w="0" w:type="auto"/>
            <w:tcBorders>
              <w:top w:val="single" w:sz="4" w:space="0" w:color="auto"/>
              <w:left w:val="nil"/>
              <w:bottom w:val="single" w:sz="4" w:space="0" w:color="auto"/>
              <w:right w:val="nil"/>
            </w:tcBorders>
            <w:shd w:val="clear" w:color="auto" w:fill="auto"/>
            <w:noWrap/>
            <w:vAlign w:val="bottom"/>
            <w:hideMark/>
          </w:tcPr>
          <w:p w14:paraId="4D6B4A8E" w14:textId="77777777" w:rsidR="0065555D" w:rsidRPr="00943501" w:rsidRDefault="0065555D" w:rsidP="00FB3903">
            <w:pPr>
              <w:spacing w:after="0" w:line="240" w:lineRule="auto"/>
              <w:jc w:val="center"/>
              <w:rPr>
                <w:rFonts w:eastAsia="Times New Roman" w:cs="Times New Roman"/>
                <w:sz w:val="20"/>
                <w:szCs w:val="20"/>
              </w:rPr>
            </w:pPr>
            <w:r w:rsidRPr="00943501">
              <w:rPr>
                <w:rFonts w:eastAsia="Times New Roman" w:cs="Times New Roman"/>
                <w:sz w:val="20"/>
                <w:szCs w:val="20"/>
              </w:rPr>
              <w:t>N</w:t>
            </w:r>
          </w:p>
        </w:tc>
        <w:tc>
          <w:tcPr>
            <w:tcW w:w="0" w:type="auto"/>
            <w:tcBorders>
              <w:top w:val="single" w:sz="4" w:space="0" w:color="auto"/>
              <w:left w:val="nil"/>
              <w:bottom w:val="single" w:sz="4" w:space="0" w:color="auto"/>
              <w:right w:val="nil"/>
            </w:tcBorders>
            <w:shd w:val="clear" w:color="auto" w:fill="auto"/>
            <w:noWrap/>
            <w:vAlign w:val="bottom"/>
            <w:hideMark/>
          </w:tcPr>
          <w:p w14:paraId="28180154" w14:textId="77777777" w:rsidR="0065555D" w:rsidRPr="00943501" w:rsidRDefault="0065555D" w:rsidP="00FB3903">
            <w:pPr>
              <w:spacing w:after="0" w:line="240" w:lineRule="auto"/>
              <w:jc w:val="center"/>
              <w:rPr>
                <w:rFonts w:eastAsia="Times New Roman" w:cs="Times New Roman"/>
                <w:sz w:val="20"/>
                <w:szCs w:val="20"/>
              </w:rPr>
            </w:pPr>
            <w:r w:rsidRPr="00943501">
              <w:rPr>
                <w:rFonts w:eastAsia="Times New Roman" w:cs="Times New Roman"/>
                <w:sz w:val="20"/>
                <w:szCs w:val="20"/>
              </w:rPr>
              <w:t>%</w:t>
            </w:r>
          </w:p>
          <w:p w14:paraId="3BF7C1E4" w14:textId="77777777" w:rsidR="0065555D" w:rsidRPr="00943501" w:rsidRDefault="0065555D" w:rsidP="00FB3903">
            <w:pPr>
              <w:spacing w:after="0" w:line="240" w:lineRule="auto"/>
              <w:jc w:val="center"/>
              <w:rPr>
                <w:rFonts w:eastAsia="Times New Roman" w:cs="Times New Roman"/>
                <w:sz w:val="20"/>
                <w:szCs w:val="20"/>
              </w:rPr>
            </w:pPr>
            <w:r w:rsidRPr="00943501">
              <w:rPr>
                <w:rFonts w:eastAsia="Times New Roman" w:cs="Times New Roman"/>
                <w:sz w:val="20"/>
                <w:szCs w:val="20"/>
              </w:rPr>
              <w:t>Sample</w:t>
            </w:r>
          </w:p>
        </w:tc>
        <w:tc>
          <w:tcPr>
            <w:tcW w:w="0" w:type="auto"/>
            <w:tcBorders>
              <w:top w:val="single" w:sz="4" w:space="0" w:color="auto"/>
              <w:left w:val="nil"/>
              <w:bottom w:val="single" w:sz="4" w:space="0" w:color="auto"/>
              <w:right w:val="nil"/>
            </w:tcBorders>
            <w:shd w:val="clear" w:color="auto" w:fill="auto"/>
            <w:vAlign w:val="bottom"/>
            <w:hideMark/>
          </w:tcPr>
          <w:p w14:paraId="2AD62185" w14:textId="77777777" w:rsidR="0065555D" w:rsidRPr="00943501" w:rsidRDefault="0065555D" w:rsidP="00FB3903">
            <w:pPr>
              <w:spacing w:after="0" w:line="240" w:lineRule="auto"/>
              <w:jc w:val="center"/>
              <w:rPr>
                <w:rFonts w:eastAsia="Times New Roman" w:cs="Times New Roman"/>
                <w:color w:val="000000"/>
                <w:sz w:val="20"/>
                <w:szCs w:val="20"/>
              </w:rPr>
            </w:pPr>
            <w:r w:rsidRPr="00943501">
              <w:rPr>
                <w:rFonts w:eastAsia="Times New Roman" w:cs="Times New Roman"/>
                <w:color w:val="000000"/>
                <w:sz w:val="20"/>
                <w:szCs w:val="20"/>
              </w:rPr>
              <w:t>Fraction 90+</w:t>
            </w:r>
            <w:r w:rsidRPr="00943501">
              <w:rPr>
                <w:rFonts w:eastAsia="Times New Roman" w:cs="Times New Roman"/>
                <w:color w:val="000000"/>
                <w:sz w:val="20"/>
                <w:szCs w:val="20"/>
              </w:rPr>
              <w:br/>
              <w:t>Days</w:t>
            </w:r>
            <w:r w:rsidRPr="00943501">
              <w:rPr>
                <w:rFonts w:eastAsia="Times New Roman" w:cs="Times New Roman"/>
                <w:color w:val="000000"/>
                <w:sz w:val="20"/>
                <w:szCs w:val="20"/>
              </w:rPr>
              <w:br/>
              <w:t>Delinquent</w:t>
            </w:r>
          </w:p>
        </w:tc>
        <w:tc>
          <w:tcPr>
            <w:tcW w:w="0" w:type="auto"/>
            <w:tcBorders>
              <w:top w:val="single" w:sz="4" w:space="0" w:color="auto"/>
              <w:left w:val="nil"/>
              <w:bottom w:val="single" w:sz="4" w:space="0" w:color="auto"/>
              <w:right w:val="nil"/>
            </w:tcBorders>
            <w:shd w:val="clear" w:color="auto" w:fill="auto"/>
            <w:vAlign w:val="bottom"/>
            <w:hideMark/>
          </w:tcPr>
          <w:p w14:paraId="73D0AF0C" w14:textId="77777777" w:rsidR="0065555D" w:rsidRPr="00943501" w:rsidRDefault="0065555D" w:rsidP="00FB3903">
            <w:pPr>
              <w:spacing w:after="0" w:line="240" w:lineRule="auto"/>
              <w:jc w:val="center"/>
              <w:rPr>
                <w:rFonts w:eastAsia="Times New Roman" w:cs="Times New Roman"/>
                <w:sz w:val="20"/>
                <w:szCs w:val="20"/>
              </w:rPr>
            </w:pPr>
            <w:r w:rsidRPr="00943501">
              <w:rPr>
                <w:rFonts w:eastAsia="Times New Roman" w:cs="Times New Roman"/>
                <w:sz w:val="20"/>
                <w:szCs w:val="20"/>
              </w:rPr>
              <w:t>L1%</w:t>
            </w:r>
          </w:p>
        </w:tc>
        <w:tc>
          <w:tcPr>
            <w:tcW w:w="0" w:type="auto"/>
            <w:tcBorders>
              <w:top w:val="single" w:sz="4" w:space="0" w:color="auto"/>
              <w:left w:val="nil"/>
              <w:bottom w:val="single" w:sz="4" w:space="0" w:color="auto"/>
              <w:right w:val="nil"/>
            </w:tcBorders>
            <w:shd w:val="clear" w:color="auto" w:fill="auto"/>
            <w:vAlign w:val="bottom"/>
            <w:hideMark/>
          </w:tcPr>
          <w:p w14:paraId="27D8675B" w14:textId="77777777" w:rsidR="0065555D" w:rsidRPr="00943501" w:rsidRDefault="0065555D" w:rsidP="00FB3903">
            <w:pPr>
              <w:spacing w:after="0" w:line="240" w:lineRule="auto"/>
              <w:jc w:val="center"/>
              <w:rPr>
                <w:rFonts w:eastAsia="Times New Roman" w:cs="Times New Roman"/>
                <w:color w:val="000000"/>
                <w:sz w:val="20"/>
                <w:szCs w:val="20"/>
              </w:rPr>
            </w:pPr>
            <w:r w:rsidRPr="00943501">
              <w:rPr>
                <w:rFonts w:eastAsia="Times New Roman" w:cs="Times New Roman"/>
                <w:color w:val="000000"/>
                <w:sz w:val="20"/>
                <w:szCs w:val="20"/>
              </w:rPr>
              <w:t>Fraction Top</w:t>
            </w:r>
          </w:p>
          <w:p w14:paraId="3401DB9C" w14:textId="77777777" w:rsidR="0065555D" w:rsidRPr="00943501" w:rsidRDefault="0065555D" w:rsidP="00FB3903">
            <w:pPr>
              <w:spacing w:after="0" w:line="240" w:lineRule="auto"/>
              <w:jc w:val="center"/>
              <w:rPr>
                <w:rFonts w:eastAsia="Times New Roman" w:cs="Times New Roman"/>
                <w:color w:val="000000"/>
                <w:sz w:val="20"/>
                <w:szCs w:val="20"/>
              </w:rPr>
            </w:pPr>
            <w:r w:rsidRPr="00943501">
              <w:rPr>
                <w:rFonts w:eastAsia="Times New Roman" w:cs="Times New Roman"/>
                <w:color w:val="000000"/>
                <w:sz w:val="20"/>
                <w:szCs w:val="20"/>
              </w:rPr>
              <w:t>Lessee</w:t>
            </w:r>
          </w:p>
          <w:p w14:paraId="4652C970" w14:textId="77777777" w:rsidR="0065555D" w:rsidRPr="00943501" w:rsidRDefault="0065555D" w:rsidP="00FB3903">
            <w:pPr>
              <w:spacing w:after="0" w:line="240" w:lineRule="auto"/>
              <w:jc w:val="center"/>
              <w:rPr>
                <w:rFonts w:eastAsia="Times New Roman" w:cs="Times New Roman"/>
                <w:sz w:val="20"/>
                <w:szCs w:val="20"/>
              </w:rPr>
            </w:pPr>
            <w:r w:rsidRPr="00943501">
              <w:rPr>
                <w:rFonts w:eastAsia="Times New Roman" w:cs="Times New Roman"/>
                <w:color w:val="000000"/>
                <w:sz w:val="20"/>
                <w:szCs w:val="20"/>
              </w:rPr>
              <w:t>Rollover</w:t>
            </w:r>
          </w:p>
        </w:tc>
        <w:tc>
          <w:tcPr>
            <w:tcW w:w="0" w:type="auto"/>
            <w:tcBorders>
              <w:top w:val="single" w:sz="4" w:space="0" w:color="auto"/>
              <w:left w:val="nil"/>
              <w:bottom w:val="single" w:sz="4" w:space="0" w:color="auto"/>
              <w:right w:val="nil"/>
            </w:tcBorders>
            <w:shd w:val="clear" w:color="auto" w:fill="auto"/>
            <w:noWrap/>
            <w:vAlign w:val="bottom"/>
            <w:hideMark/>
          </w:tcPr>
          <w:p w14:paraId="71069863" w14:textId="77777777" w:rsidR="0065555D" w:rsidRPr="00943501" w:rsidRDefault="0065555D" w:rsidP="00FB3903">
            <w:pPr>
              <w:spacing w:after="0" w:line="240" w:lineRule="auto"/>
              <w:jc w:val="center"/>
              <w:rPr>
                <w:rFonts w:eastAsia="Times New Roman" w:cs="Times New Roman"/>
                <w:color w:val="000000"/>
                <w:sz w:val="20"/>
                <w:szCs w:val="20"/>
              </w:rPr>
            </w:pPr>
            <w:r w:rsidRPr="00943501">
              <w:rPr>
                <w:rFonts w:eastAsia="Times New Roman" w:cs="Times New Roman"/>
                <w:color w:val="000000"/>
                <w:sz w:val="20"/>
                <w:szCs w:val="20"/>
              </w:rPr>
              <w:t>Spread</w:t>
            </w:r>
          </w:p>
          <w:p w14:paraId="251111D7" w14:textId="77777777" w:rsidR="0065555D" w:rsidRPr="00943501" w:rsidRDefault="0065555D" w:rsidP="00FB3903">
            <w:pPr>
              <w:spacing w:after="0" w:line="240" w:lineRule="auto"/>
              <w:jc w:val="center"/>
              <w:rPr>
                <w:rFonts w:eastAsia="Times New Roman" w:cs="Times New Roman"/>
                <w:color w:val="000000"/>
                <w:sz w:val="20"/>
                <w:szCs w:val="20"/>
              </w:rPr>
            </w:pPr>
            <w:r w:rsidRPr="00943501">
              <w:rPr>
                <w:rFonts w:eastAsia="Times New Roman" w:cs="Times New Roman"/>
                <w:color w:val="000000"/>
                <w:sz w:val="20"/>
                <w:szCs w:val="20"/>
              </w:rPr>
              <w:t>(%)</w:t>
            </w:r>
          </w:p>
        </w:tc>
        <w:tc>
          <w:tcPr>
            <w:tcW w:w="0" w:type="auto"/>
            <w:tcBorders>
              <w:top w:val="single" w:sz="4" w:space="0" w:color="auto"/>
              <w:left w:val="nil"/>
              <w:bottom w:val="single" w:sz="4" w:space="0" w:color="auto"/>
              <w:right w:val="nil"/>
            </w:tcBorders>
            <w:shd w:val="clear" w:color="auto" w:fill="auto"/>
            <w:noWrap/>
            <w:vAlign w:val="bottom"/>
            <w:hideMark/>
          </w:tcPr>
          <w:p w14:paraId="1AE632F5" w14:textId="77777777" w:rsidR="0065555D" w:rsidRPr="00943501" w:rsidRDefault="0065555D" w:rsidP="00FB3903">
            <w:pPr>
              <w:spacing w:after="0" w:line="240" w:lineRule="auto"/>
              <w:jc w:val="center"/>
              <w:rPr>
                <w:rFonts w:eastAsia="Times New Roman" w:cs="Times New Roman"/>
                <w:color w:val="000000"/>
                <w:sz w:val="20"/>
                <w:szCs w:val="20"/>
              </w:rPr>
            </w:pPr>
            <w:r w:rsidRPr="00943501">
              <w:rPr>
                <w:rFonts w:eastAsia="Times New Roman" w:cs="Times New Roman"/>
                <w:color w:val="000000"/>
                <w:sz w:val="20"/>
                <w:szCs w:val="20"/>
              </w:rPr>
              <w:t>Nominal</w:t>
            </w:r>
          </w:p>
          <w:p w14:paraId="0C3DB048" w14:textId="77777777" w:rsidR="0065555D" w:rsidRPr="00943501" w:rsidRDefault="0065555D" w:rsidP="00FB3903">
            <w:pPr>
              <w:spacing w:after="0" w:line="240" w:lineRule="auto"/>
              <w:jc w:val="center"/>
              <w:rPr>
                <w:rFonts w:eastAsia="Times New Roman" w:cs="Times New Roman"/>
                <w:color w:val="000000"/>
                <w:sz w:val="20"/>
                <w:szCs w:val="20"/>
              </w:rPr>
            </w:pPr>
            <w:r w:rsidRPr="00943501">
              <w:rPr>
                <w:rFonts w:eastAsia="Times New Roman" w:cs="Times New Roman"/>
                <w:color w:val="000000"/>
                <w:sz w:val="20"/>
                <w:szCs w:val="20"/>
              </w:rPr>
              <w:t>Property</w:t>
            </w:r>
          </w:p>
          <w:p w14:paraId="35A07460" w14:textId="77777777" w:rsidR="0065555D" w:rsidRPr="00943501" w:rsidRDefault="0065555D" w:rsidP="00FB3903">
            <w:pPr>
              <w:spacing w:after="0" w:line="240" w:lineRule="auto"/>
              <w:jc w:val="center"/>
              <w:rPr>
                <w:rFonts w:eastAsia="Times New Roman" w:cs="Times New Roman"/>
                <w:color w:val="000000"/>
                <w:sz w:val="20"/>
                <w:szCs w:val="20"/>
              </w:rPr>
            </w:pPr>
            <w:r w:rsidRPr="00943501">
              <w:rPr>
                <w:rFonts w:eastAsia="Times New Roman" w:cs="Times New Roman"/>
                <w:color w:val="000000"/>
                <w:sz w:val="20"/>
                <w:szCs w:val="20"/>
              </w:rPr>
              <w:t>Value (mil)</w:t>
            </w:r>
          </w:p>
        </w:tc>
        <w:tc>
          <w:tcPr>
            <w:tcW w:w="0" w:type="auto"/>
            <w:tcBorders>
              <w:top w:val="single" w:sz="4" w:space="0" w:color="auto"/>
              <w:left w:val="nil"/>
              <w:bottom w:val="single" w:sz="4" w:space="0" w:color="auto"/>
              <w:right w:val="nil"/>
            </w:tcBorders>
            <w:vAlign w:val="bottom"/>
          </w:tcPr>
          <w:p w14:paraId="679D65E2" w14:textId="77777777" w:rsidR="0065555D" w:rsidRPr="00943501" w:rsidRDefault="0065555D" w:rsidP="00FB3903">
            <w:pPr>
              <w:spacing w:after="0" w:line="240" w:lineRule="auto"/>
              <w:jc w:val="center"/>
              <w:rPr>
                <w:rFonts w:eastAsia="Times New Roman" w:cs="Times New Roman"/>
                <w:color w:val="000000"/>
                <w:sz w:val="20"/>
                <w:szCs w:val="20"/>
              </w:rPr>
            </w:pPr>
            <w:r w:rsidRPr="00943501">
              <w:rPr>
                <w:rFonts w:eastAsia="Times New Roman" w:cs="Times New Roman"/>
                <w:color w:val="000000"/>
                <w:sz w:val="20"/>
                <w:szCs w:val="20"/>
              </w:rPr>
              <w:t>Real</w:t>
            </w:r>
          </w:p>
          <w:p w14:paraId="1C5A753B" w14:textId="77777777" w:rsidR="0065555D" w:rsidRPr="00943501" w:rsidRDefault="0065555D" w:rsidP="00FB3903">
            <w:pPr>
              <w:spacing w:after="0" w:line="240" w:lineRule="auto"/>
              <w:jc w:val="center"/>
              <w:rPr>
                <w:rFonts w:eastAsia="Times New Roman" w:cs="Times New Roman"/>
                <w:color w:val="000000"/>
                <w:sz w:val="20"/>
                <w:szCs w:val="20"/>
              </w:rPr>
            </w:pPr>
            <w:r w:rsidRPr="00943501">
              <w:rPr>
                <w:rFonts w:eastAsia="Times New Roman" w:cs="Times New Roman"/>
                <w:color w:val="000000"/>
                <w:sz w:val="20"/>
                <w:szCs w:val="20"/>
              </w:rPr>
              <w:t>Property</w:t>
            </w:r>
          </w:p>
          <w:p w14:paraId="55502203" w14:textId="77777777" w:rsidR="0065555D" w:rsidRPr="00943501" w:rsidRDefault="0065555D" w:rsidP="00FB3903">
            <w:pPr>
              <w:spacing w:after="0" w:line="240" w:lineRule="auto"/>
              <w:jc w:val="center"/>
              <w:rPr>
                <w:rFonts w:eastAsia="Times New Roman" w:cs="Times New Roman"/>
                <w:color w:val="000000"/>
                <w:sz w:val="20"/>
                <w:szCs w:val="20"/>
              </w:rPr>
            </w:pPr>
            <w:r w:rsidRPr="00943501">
              <w:rPr>
                <w:rFonts w:eastAsia="Times New Roman" w:cs="Times New Roman"/>
                <w:color w:val="000000"/>
                <w:sz w:val="20"/>
                <w:szCs w:val="20"/>
              </w:rPr>
              <w:t>Value (mil)</w:t>
            </w:r>
          </w:p>
        </w:tc>
        <w:tc>
          <w:tcPr>
            <w:tcW w:w="0" w:type="auto"/>
            <w:tcBorders>
              <w:top w:val="single" w:sz="4" w:space="0" w:color="auto"/>
              <w:left w:val="nil"/>
              <w:bottom w:val="single" w:sz="4" w:space="0" w:color="auto"/>
              <w:right w:val="nil"/>
            </w:tcBorders>
            <w:shd w:val="clear" w:color="auto" w:fill="auto"/>
            <w:noWrap/>
            <w:vAlign w:val="bottom"/>
            <w:hideMark/>
          </w:tcPr>
          <w:p w14:paraId="7E35B529" w14:textId="77777777" w:rsidR="0065555D" w:rsidRPr="00943501" w:rsidRDefault="0065555D" w:rsidP="00FB3903">
            <w:pPr>
              <w:spacing w:after="0" w:line="240" w:lineRule="auto"/>
              <w:jc w:val="center"/>
              <w:rPr>
                <w:rFonts w:eastAsia="Times New Roman" w:cs="Times New Roman"/>
                <w:color w:val="000000"/>
                <w:sz w:val="20"/>
                <w:szCs w:val="20"/>
              </w:rPr>
            </w:pPr>
            <w:r w:rsidRPr="00943501">
              <w:rPr>
                <w:rFonts w:eastAsia="Times New Roman" w:cs="Times New Roman"/>
                <w:color w:val="000000"/>
                <w:sz w:val="20"/>
                <w:szCs w:val="20"/>
              </w:rPr>
              <w:t>LTV</w:t>
            </w:r>
          </w:p>
          <w:p w14:paraId="6D73F18F" w14:textId="77777777" w:rsidR="0065555D" w:rsidRPr="00943501" w:rsidRDefault="0065555D" w:rsidP="00FB3903">
            <w:pPr>
              <w:spacing w:after="0" w:line="240" w:lineRule="auto"/>
              <w:jc w:val="center"/>
              <w:rPr>
                <w:rFonts w:eastAsia="Times New Roman" w:cs="Times New Roman"/>
                <w:color w:val="000000"/>
                <w:sz w:val="20"/>
                <w:szCs w:val="20"/>
              </w:rPr>
            </w:pPr>
            <w:r w:rsidRPr="00943501">
              <w:rPr>
                <w:rFonts w:eastAsia="Times New Roman" w:cs="Times New Roman"/>
                <w:color w:val="000000"/>
                <w:sz w:val="20"/>
                <w:szCs w:val="20"/>
              </w:rPr>
              <w:t>(%)</w:t>
            </w:r>
          </w:p>
        </w:tc>
        <w:tc>
          <w:tcPr>
            <w:tcW w:w="0" w:type="auto"/>
            <w:tcBorders>
              <w:top w:val="single" w:sz="4" w:space="0" w:color="auto"/>
              <w:left w:val="nil"/>
              <w:bottom w:val="single" w:sz="4" w:space="0" w:color="auto"/>
              <w:right w:val="nil"/>
            </w:tcBorders>
            <w:shd w:val="clear" w:color="auto" w:fill="auto"/>
            <w:noWrap/>
            <w:vAlign w:val="bottom"/>
            <w:hideMark/>
          </w:tcPr>
          <w:p w14:paraId="1406EAF8" w14:textId="77777777" w:rsidR="0065555D" w:rsidRPr="00943501" w:rsidRDefault="0065555D" w:rsidP="00FB3903">
            <w:pPr>
              <w:spacing w:after="0" w:line="240" w:lineRule="auto"/>
              <w:jc w:val="center"/>
              <w:rPr>
                <w:rFonts w:eastAsia="Times New Roman" w:cs="Times New Roman"/>
                <w:color w:val="000000"/>
                <w:sz w:val="20"/>
                <w:szCs w:val="20"/>
              </w:rPr>
            </w:pPr>
            <w:r w:rsidRPr="00943501">
              <w:rPr>
                <w:rFonts w:eastAsia="Times New Roman" w:cs="Times New Roman"/>
                <w:color w:val="000000"/>
                <w:sz w:val="20"/>
                <w:szCs w:val="20"/>
              </w:rPr>
              <w:t>NOI/</w:t>
            </w:r>
          </w:p>
          <w:p w14:paraId="6870F4D9" w14:textId="77777777" w:rsidR="0065555D" w:rsidRPr="00943501" w:rsidRDefault="0065555D" w:rsidP="00FB3903">
            <w:pPr>
              <w:spacing w:after="0" w:line="240" w:lineRule="auto"/>
              <w:jc w:val="center"/>
              <w:rPr>
                <w:rFonts w:eastAsia="Times New Roman" w:cs="Times New Roman"/>
                <w:color w:val="000000"/>
                <w:sz w:val="20"/>
                <w:szCs w:val="20"/>
              </w:rPr>
            </w:pPr>
            <w:r w:rsidRPr="00943501">
              <w:rPr>
                <w:rFonts w:eastAsia="Times New Roman" w:cs="Times New Roman"/>
                <w:color w:val="000000"/>
                <w:sz w:val="20"/>
                <w:szCs w:val="20"/>
              </w:rPr>
              <w:t>Property</w:t>
            </w:r>
          </w:p>
          <w:p w14:paraId="506E10FB" w14:textId="77777777" w:rsidR="0065555D" w:rsidRPr="00943501" w:rsidRDefault="0065555D" w:rsidP="00FB3903">
            <w:pPr>
              <w:spacing w:after="0" w:line="240" w:lineRule="auto"/>
              <w:jc w:val="center"/>
              <w:rPr>
                <w:rFonts w:eastAsia="Times New Roman" w:cs="Times New Roman"/>
                <w:color w:val="000000"/>
                <w:sz w:val="20"/>
                <w:szCs w:val="20"/>
              </w:rPr>
            </w:pPr>
            <w:r w:rsidRPr="00943501">
              <w:rPr>
                <w:rFonts w:eastAsia="Times New Roman" w:cs="Times New Roman"/>
                <w:color w:val="000000"/>
                <w:sz w:val="20"/>
                <w:szCs w:val="20"/>
              </w:rPr>
              <w:t>Value</w:t>
            </w:r>
          </w:p>
        </w:tc>
        <w:tc>
          <w:tcPr>
            <w:tcW w:w="0" w:type="auto"/>
            <w:tcBorders>
              <w:top w:val="single" w:sz="4" w:space="0" w:color="auto"/>
              <w:left w:val="nil"/>
              <w:bottom w:val="single" w:sz="4" w:space="0" w:color="auto"/>
              <w:right w:val="nil"/>
            </w:tcBorders>
            <w:shd w:val="clear" w:color="auto" w:fill="auto"/>
            <w:noWrap/>
            <w:vAlign w:val="bottom"/>
            <w:hideMark/>
          </w:tcPr>
          <w:p w14:paraId="298E5975" w14:textId="77777777" w:rsidR="0065555D" w:rsidRPr="00943501" w:rsidRDefault="0065555D" w:rsidP="00FB3903">
            <w:pPr>
              <w:spacing w:after="0" w:line="240" w:lineRule="auto"/>
              <w:jc w:val="center"/>
              <w:rPr>
                <w:rFonts w:eastAsia="Times New Roman" w:cs="Times New Roman"/>
                <w:color w:val="000000"/>
                <w:sz w:val="20"/>
                <w:szCs w:val="20"/>
              </w:rPr>
            </w:pPr>
            <w:r w:rsidRPr="00943501">
              <w:rPr>
                <w:rFonts w:eastAsia="Times New Roman" w:cs="Times New Roman"/>
                <w:color w:val="000000"/>
                <w:sz w:val="20"/>
                <w:szCs w:val="20"/>
              </w:rPr>
              <w:t>Occ.</w:t>
            </w:r>
          </w:p>
          <w:p w14:paraId="550AA309" w14:textId="77777777" w:rsidR="0065555D" w:rsidRPr="00943501" w:rsidRDefault="0065555D" w:rsidP="00FB3903">
            <w:pPr>
              <w:spacing w:after="0" w:line="240" w:lineRule="auto"/>
              <w:jc w:val="center"/>
              <w:rPr>
                <w:rFonts w:eastAsia="Times New Roman" w:cs="Times New Roman"/>
                <w:sz w:val="20"/>
                <w:szCs w:val="20"/>
              </w:rPr>
            </w:pPr>
            <w:r w:rsidRPr="00943501">
              <w:rPr>
                <w:rFonts w:eastAsia="Times New Roman" w:cs="Times New Roman"/>
                <w:color w:val="000000"/>
                <w:sz w:val="20"/>
                <w:szCs w:val="20"/>
              </w:rPr>
              <w:t>Rate (%)</w:t>
            </w:r>
          </w:p>
        </w:tc>
        <w:tc>
          <w:tcPr>
            <w:tcW w:w="0" w:type="auto"/>
            <w:tcBorders>
              <w:top w:val="single" w:sz="4" w:space="0" w:color="auto"/>
              <w:left w:val="nil"/>
              <w:bottom w:val="single" w:sz="4" w:space="0" w:color="auto"/>
              <w:right w:val="nil"/>
            </w:tcBorders>
            <w:shd w:val="clear" w:color="auto" w:fill="auto"/>
            <w:noWrap/>
            <w:vAlign w:val="bottom"/>
            <w:hideMark/>
          </w:tcPr>
          <w:p w14:paraId="141D7FB1" w14:textId="77777777" w:rsidR="0065555D" w:rsidRPr="00943501" w:rsidRDefault="0065555D" w:rsidP="00FB3903">
            <w:pPr>
              <w:spacing w:after="0" w:line="240" w:lineRule="auto"/>
              <w:jc w:val="center"/>
              <w:rPr>
                <w:rFonts w:eastAsia="Times New Roman" w:cs="Times New Roman"/>
                <w:color w:val="000000"/>
                <w:sz w:val="20"/>
                <w:szCs w:val="20"/>
              </w:rPr>
            </w:pPr>
            <w:proofErr w:type="spellStart"/>
            <w:r w:rsidRPr="00943501">
              <w:rPr>
                <w:rFonts w:eastAsia="Times New Roman" w:cs="Times New Roman"/>
                <w:color w:val="000000"/>
                <w:sz w:val="20"/>
                <w:szCs w:val="20"/>
              </w:rPr>
              <w:t>Amort</w:t>
            </w:r>
            <w:proofErr w:type="spellEnd"/>
            <w:r w:rsidRPr="00943501">
              <w:rPr>
                <w:rFonts w:eastAsia="Times New Roman" w:cs="Times New Roman"/>
                <w:color w:val="000000"/>
                <w:sz w:val="20"/>
                <w:szCs w:val="20"/>
              </w:rPr>
              <w:t>.</w:t>
            </w:r>
          </w:p>
          <w:p w14:paraId="4AB86099" w14:textId="77777777" w:rsidR="0065555D" w:rsidRPr="00943501" w:rsidRDefault="0065555D" w:rsidP="00FB3903">
            <w:pPr>
              <w:spacing w:after="0" w:line="240" w:lineRule="auto"/>
              <w:jc w:val="center"/>
              <w:rPr>
                <w:rFonts w:eastAsia="Times New Roman" w:cs="Times New Roman"/>
                <w:sz w:val="20"/>
                <w:szCs w:val="20"/>
              </w:rPr>
            </w:pPr>
            <w:r w:rsidRPr="00943501">
              <w:rPr>
                <w:rFonts w:eastAsia="Times New Roman" w:cs="Times New Roman"/>
                <w:color w:val="000000"/>
                <w:sz w:val="20"/>
                <w:szCs w:val="20"/>
              </w:rPr>
              <w:t>Rate</w:t>
            </w:r>
          </w:p>
        </w:tc>
        <w:tc>
          <w:tcPr>
            <w:tcW w:w="0" w:type="auto"/>
            <w:tcBorders>
              <w:top w:val="single" w:sz="4" w:space="0" w:color="auto"/>
              <w:left w:val="nil"/>
              <w:bottom w:val="single" w:sz="4" w:space="0" w:color="auto"/>
              <w:right w:val="nil"/>
            </w:tcBorders>
            <w:shd w:val="clear" w:color="auto" w:fill="auto"/>
            <w:noWrap/>
            <w:vAlign w:val="bottom"/>
            <w:hideMark/>
          </w:tcPr>
          <w:p w14:paraId="1E5EA95F" w14:textId="77777777" w:rsidR="0065555D" w:rsidRPr="00943501" w:rsidRDefault="0065555D" w:rsidP="00FB3903">
            <w:pPr>
              <w:spacing w:after="0" w:line="240" w:lineRule="auto"/>
              <w:jc w:val="center"/>
              <w:rPr>
                <w:rFonts w:eastAsia="Times New Roman" w:cs="Times New Roman"/>
                <w:color w:val="000000"/>
                <w:sz w:val="20"/>
                <w:szCs w:val="20"/>
              </w:rPr>
            </w:pPr>
            <w:r w:rsidRPr="00943501">
              <w:rPr>
                <w:rFonts w:eastAsia="Times New Roman" w:cs="Times New Roman"/>
                <w:color w:val="000000"/>
                <w:sz w:val="20"/>
                <w:szCs w:val="20"/>
              </w:rPr>
              <w:t>Property</w:t>
            </w:r>
          </w:p>
          <w:p w14:paraId="3094688C" w14:textId="77777777" w:rsidR="0065555D" w:rsidRPr="00943501" w:rsidRDefault="0065555D" w:rsidP="00FB3903">
            <w:pPr>
              <w:spacing w:after="0" w:line="240" w:lineRule="auto"/>
              <w:jc w:val="center"/>
              <w:rPr>
                <w:rFonts w:eastAsia="Times New Roman" w:cs="Times New Roman"/>
                <w:color w:val="000000"/>
                <w:sz w:val="20"/>
                <w:szCs w:val="20"/>
              </w:rPr>
            </w:pPr>
            <w:r w:rsidRPr="00943501">
              <w:rPr>
                <w:rFonts w:eastAsia="Times New Roman" w:cs="Times New Roman"/>
                <w:color w:val="000000"/>
                <w:sz w:val="20"/>
                <w:szCs w:val="20"/>
              </w:rPr>
              <w:t>Age</w:t>
            </w:r>
          </w:p>
        </w:tc>
        <w:tc>
          <w:tcPr>
            <w:tcW w:w="0" w:type="auto"/>
            <w:tcBorders>
              <w:top w:val="single" w:sz="4" w:space="0" w:color="auto"/>
              <w:left w:val="nil"/>
              <w:bottom w:val="single" w:sz="4" w:space="0" w:color="auto"/>
              <w:right w:val="nil"/>
            </w:tcBorders>
            <w:shd w:val="clear" w:color="auto" w:fill="auto"/>
            <w:noWrap/>
            <w:vAlign w:val="bottom"/>
            <w:hideMark/>
          </w:tcPr>
          <w:p w14:paraId="487B7DD4" w14:textId="77777777" w:rsidR="0065555D" w:rsidRPr="00943501" w:rsidRDefault="0065555D" w:rsidP="00FB3903">
            <w:pPr>
              <w:spacing w:after="0" w:line="240" w:lineRule="auto"/>
              <w:jc w:val="center"/>
              <w:rPr>
                <w:rFonts w:eastAsia="Times New Roman" w:cs="Times New Roman"/>
                <w:color w:val="000000"/>
                <w:sz w:val="20"/>
                <w:szCs w:val="20"/>
              </w:rPr>
            </w:pPr>
            <w:r w:rsidRPr="00943501">
              <w:rPr>
                <w:rFonts w:eastAsia="Times New Roman" w:cs="Times New Roman"/>
                <w:color w:val="000000"/>
                <w:sz w:val="20"/>
                <w:szCs w:val="20"/>
              </w:rPr>
              <w:t>Years to</w:t>
            </w:r>
          </w:p>
          <w:p w14:paraId="449705FB" w14:textId="77777777" w:rsidR="0065555D" w:rsidRPr="00943501" w:rsidRDefault="0065555D" w:rsidP="00FB3903">
            <w:pPr>
              <w:spacing w:after="0" w:line="240" w:lineRule="auto"/>
              <w:jc w:val="center"/>
              <w:rPr>
                <w:rFonts w:eastAsia="Times New Roman" w:cs="Times New Roman"/>
                <w:color w:val="000000"/>
                <w:sz w:val="20"/>
                <w:szCs w:val="20"/>
              </w:rPr>
            </w:pPr>
            <w:r w:rsidRPr="00943501">
              <w:rPr>
                <w:rFonts w:eastAsia="Times New Roman" w:cs="Times New Roman"/>
                <w:color w:val="000000"/>
                <w:sz w:val="20"/>
                <w:szCs w:val="20"/>
              </w:rPr>
              <w:t>Loan</w:t>
            </w:r>
          </w:p>
          <w:p w14:paraId="70CD5176" w14:textId="77777777" w:rsidR="0065555D" w:rsidRPr="00943501" w:rsidRDefault="0065555D" w:rsidP="00FB3903">
            <w:pPr>
              <w:spacing w:after="0" w:line="240" w:lineRule="auto"/>
              <w:jc w:val="center"/>
              <w:rPr>
                <w:rFonts w:eastAsia="Times New Roman" w:cs="Times New Roman"/>
                <w:color w:val="000000"/>
                <w:sz w:val="20"/>
                <w:szCs w:val="20"/>
              </w:rPr>
            </w:pPr>
            <w:r w:rsidRPr="00943501">
              <w:rPr>
                <w:rFonts w:eastAsia="Times New Roman" w:cs="Times New Roman"/>
                <w:color w:val="000000"/>
                <w:sz w:val="20"/>
                <w:szCs w:val="20"/>
              </w:rPr>
              <w:t>Maturity</w:t>
            </w:r>
          </w:p>
        </w:tc>
        <w:tc>
          <w:tcPr>
            <w:tcW w:w="0" w:type="auto"/>
            <w:tcBorders>
              <w:top w:val="single" w:sz="4" w:space="0" w:color="auto"/>
              <w:left w:val="nil"/>
              <w:bottom w:val="single" w:sz="4" w:space="0" w:color="auto"/>
              <w:right w:val="nil"/>
            </w:tcBorders>
            <w:shd w:val="clear" w:color="auto" w:fill="auto"/>
            <w:noWrap/>
            <w:vAlign w:val="bottom"/>
            <w:hideMark/>
          </w:tcPr>
          <w:p w14:paraId="0FBB0F8F" w14:textId="77777777" w:rsidR="0065555D" w:rsidRPr="00943501" w:rsidRDefault="0065555D" w:rsidP="00FB3903">
            <w:pPr>
              <w:spacing w:after="0" w:line="240" w:lineRule="auto"/>
              <w:jc w:val="center"/>
              <w:rPr>
                <w:rFonts w:eastAsia="Times New Roman" w:cs="Times New Roman"/>
                <w:color w:val="000000"/>
                <w:sz w:val="20"/>
                <w:szCs w:val="20"/>
              </w:rPr>
            </w:pPr>
            <w:r w:rsidRPr="00943501">
              <w:rPr>
                <w:rFonts w:eastAsia="Times New Roman" w:cs="Times New Roman"/>
                <w:color w:val="000000"/>
                <w:sz w:val="20"/>
                <w:szCs w:val="20"/>
              </w:rPr>
              <w:t>DSCR</w:t>
            </w:r>
          </w:p>
        </w:tc>
      </w:tr>
      <w:tr w:rsidR="0065555D" w:rsidRPr="00943501" w14:paraId="5EC93242" w14:textId="77777777" w:rsidTr="00FB3903">
        <w:trPr>
          <w:trHeight w:val="264"/>
          <w:jc w:val="center"/>
        </w:trPr>
        <w:tc>
          <w:tcPr>
            <w:tcW w:w="0" w:type="auto"/>
            <w:tcBorders>
              <w:top w:val="nil"/>
              <w:left w:val="nil"/>
              <w:bottom w:val="nil"/>
              <w:right w:val="nil"/>
            </w:tcBorders>
            <w:shd w:val="clear" w:color="auto" w:fill="auto"/>
            <w:noWrap/>
            <w:vAlign w:val="bottom"/>
            <w:hideMark/>
          </w:tcPr>
          <w:p w14:paraId="2EF5CD44" w14:textId="77777777" w:rsidR="0065555D" w:rsidRPr="00943501" w:rsidRDefault="0065555D" w:rsidP="00FB3903">
            <w:pPr>
              <w:spacing w:after="0" w:line="240" w:lineRule="auto"/>
              <w:jc w:val="center"/>
              <w:rPr>
                <w:rFonts w:eastAsia="Times New Roman" w:cs="Times New Roman"/>
                <w:color w:val="000000"/>
                <w:sz w:val="20"/>
                <w:szCs w:val="20"/>
              </w:rPr>
            </w:pPr>
            <w:r w:rsidRPr="00943501">
              <w:rPr>
                <w:rFonts w:eastAsia="Times New Roman" w:cs="Times New Roman"/>
                <w:color w:val="000000"/>
                <w:sz w:val="20"/>
                <w:szCs w:val="20"/>
              </w:rPr>
              <w:t>0</w:t>
            </w:r>
          </w:p>
        </w:tc>
        <w:tc>
          <w:tcPr>
            <w:tcW w:w="0" w:type="auto"/>
            <w:tcBorders>
              <w:top w:val="nil"/>
              <w:left w:val="nil"/>
              <w:bottom w:val="nil"/>
              <w:right w:val="nil"/>
            </w:tcBorders>
            <w:shd w:val="clear" w:color="auto" w:fill="auto"/>
            <w:noWrap/>
            <w:vAlign w:val="bottom"/>
            <w:hideMark/>
          </w:tcPr>
          <w:p w14:paraId="26D08617" w14:textId="77777777" w:rsidR="0065555D" w:rsidRPr="00943501" w:rsidRDefault="0065555D" w:rsidP="00FB3903">
            <w:pPr>
              <w:spacing w:line="240" w:lineRule="auto"/>
              <w:jc w:val="center"/>
              <w:rPr>
                <w:sz w:val="20"/>
                <w:szCs w:val="20"/>
              </w:rPr>
            </w:pPr>
            <w:r w:rsidRPr="00943501">
              <w:rPr>
                <w:sz w:val="20"/>
                <w:szCs w:val="20"/>
              </w:rPr>
              <w:t>14,678</w:t>
            </w:r>
          </w:p>
        </w:tc>
        <w:tc>
          <w:tcPr>
            <w:tcW w:w="0" w:type="auto"/>
            <w:tcBorders>
              <w:top w:val="nil"/>
              <w:left w:val="nil"/>
              <w:bottom w:val="nil"/>
              <w:right w:val="nil"/>
            </w:tcBorders>
            <w:shd w:val="clear" w:color="auto" w:fill="auto"/>
            <w:noWrap/>
            <w:vAlign w:val="bottom"/>
            <w:hideMark/>
          </w:tcPr>
          <w:p w14:paraId="28B4F8C6" w14:textId="77777777" w:rsidR="0065555D" w:rsidRPr="00943501" w:rsidRDefault="0065555D" w:rsidP="00FB3903">
            <w:pPr>
              <w:spacing w:line="240" w:lineRule="auto"/>
              <w:jc w:val="center"/>
              <w:rPr>
                <w:sz w:val="20"/>
                <w:szCs w:val="20"/>
              </w:rPr>
            </w:pPr>
            <w:r w:rsidRPr="00943501">
              <w:rPr>
                <w:sz w:val="20"/>
                <w:szCs w:val="20"/>
              </w:rPr>
              <w:t>88.80</w:t>
            </w:r>
          </w:p>
        </w:tc>
        <w:tc>
          <w:tcPr>
            <w:tcW w:w="0" w:type="auto"/>
            <w:tcBorders>
              <w:top w:val="nil"/>
              <w:left w:val="nil"/>
              <w:bottom w:val="nil"/>
              <w:right w:val="nil"/>
            </w:tcBorders>
            <w:shd w:val="clear" w:color="auto" w:fill="auto"/>
            <w:noWrap/>
            <w:vAlign w:val="bottom"/>
            <w:hideMark/>
          </w:tcPr>
          <w:p w14:paraId="41B8844B" w14:textId="77777777" w:rsidR="0065555D" w:rsidRPr="00943501" w:rsidRDefault="0065555D" w:rsidP="00FB3903">
            <w:pPr>
              <w:spacing w:line="240" w:lineRule="auto"/>
              <w:jc w:val="center"/>
              <w:rPr>
                <w:sz w:val="20"/>
                <w:szCs w:val="20"/>
              </w:rPr>
            </w:pPr>
            <w:r w:rsidRPr="00943501">
              <w:rPr>
                <w:sz w:val="20"/>
                <w:szCs w:val="20"/>
              </w:rPr>
              <w:t>0.00</w:t>
            </w:r>
          </w:p>
        </w:tc>
        <w:tc>
          <w:tcPr>
            <w:tcW w:w="0" w:type="auto"/>
            <w:tcBorders>
              <w:top w:val="nil"/>
              <w:left w:val="nil"/>
              <w:bottom w:val="nil"/>
              <w:right w:val="nil"/>
            </w:tcBorders>
            <w:shd w:val="clear" w:color="auto" w:fill="auto"/>
            <w:noWrap/>
            <w:vAlign w:val="bottom"/>
            <w:hideMark/>
          </w:tcPr>
          <w:p w14:paraId="5EB80C35" w14:textId="77777777" w:rsidR="0065555D" w:rsidRPr="00943501" w:rsidRDefault="0065555D" w:rsidP="00FB3903">
            <w:pPr>
              <w:spacing w:line="240" w:lineRule="auto"/>
              <w:jc w:val="center"/>
              <w:rPr>
                <w:sz w:val="20"/>
                <w:szCs w:val="20"/>
              </w:rPr>
            </w:pPr>
            <w:r w:rsidRPr="00943501">
              <w:rPr>
                <w:sz w:val="20"/>
                <w:szCs w:val="20"/>
              </w:rPr>
              <w:t>48.27</w:t>
            </w:r>
          </w:p>
        </w:tc>
        <w:tc>
          <w:tcPr>
            <w:tcW w:w="0" w:type="auto"/>
            <w:tcBorders>
              <w:top w:val="nil"/>
              <w:left w:val="nil"/>
              <w:bottom w:val="nil"/>
              <w:right w:val="nil"/>
            </w:tcBorders>
            <w:shd w:val="clear" w:color="auto" w:fill="auto"/>
            <w:noWrap/>
            <w:vAlign w:val="bottom"/>
            <w:hideMark/>
          </w:tcPr>
          <w:p w14:paraId="55B93AB9" w14:textId="77777777" w:rsidR="0065555D" w:rsidRPr="00943501" w:rsidRDefault="0065555D" w:rsidP="00FB3903">
            <w:pPr>
              <w:spacing w:line="240" w:lineRule="auto"/>
              <w:jc w:val="center"/>
              <w:rPr>
                <w:sz w:val="20"/>
                <w:szCs w:val="20"/>
              </w:rPr>
            </w:pPr>
            <w:r w:rsidRPr="00943501">
              <w:rPr>
                <w:sz w:val="20"/>
                <w:szCs w:val="20"/>
              </w:rPr>
              <w:t>0.59</w:t>
            </w:r>
          </w:p>
        </w:tc>
        <w:tc>
          <w:tcPr>
            <w:tcW w:w="0" w:type="auto"/>
            <w:tcBorders>
              <w:top w:val="nil"/>
              <w:left w:val="nil"/>
              <w:bottom w:val="nil"/>
              <w:right w:val="nil"/>
            </w:tcBorders>
            <w:shd w:val="clear" w:color="auto" w:fill="auto"/>
            <w:noWrap/>
            <w:vAlign w:val="bottom"/>
            <w:hideMark/>
          </w:tcPr>
          <w:p w14:paraId="3E0EB382" w14:textId="77777777" w:rsidR="0065555D" w:rsidRPr="00943501" w:rsidRDefault="0065555D" w:rsidP="00FB3903">
            <w:pPr>
              <w:spacing w:line="240" w:lineRule="auto"/>
              <w:jc w:val="center"/>
              <w:rPr>
                <w:sz w:val="20"/>
                <w:szCs w:val="20"/>
              </w:rPr>
            </w:pPr>
            <w:r w:rsidRPr="00943501">
              <w:rPr>
                <w:sz w:val="20"/>
                <w:szCs w:val="20"/>
              </w:rPr>
              <w:t>1.4752</w:t>
            </w:r>
          </w:p>
        </w:tc>
        <w:tc>
          <w:tcPr>
            <w:tcW w:w="0" w:type="auto"/>
            <w:tcBorders>
              <w:top w:val="nil"/>
              <w:left w:val="nil"/>
              <w:bottom w:val="nil"/>
              <w:right w:val="nil"/>
            </w:tcBorders>
            <w:shd w:val="clear" w:color="auto" w:fill="auto"/>
            <w:noWrap/>
            <w:vAlign w:val="bottom"/>
            <w:hideMark/>
          </w:tcPr>
          <w:p w14:paraId="55095612" w14:textId="77777777" w:rsidR="0065555D" w:rsidRPr="00943501" w:rsidRDefault="0065555D" w:rsidP="00FB3903">
            <w:pPr>
              <w:spacing w:line="240" w:lineRule="auto"/>
              <w:jc w:val="center"/>
              <w:rPr>
                <w:sz w:val="20"/>
                <w:szCs w:val="20"/>
              </w:rPr>
            </w:pPr>
            <w:r w:rsidRPr="00943501">
              <w:rPr>
                <w:sz w:val="20"/>
                <w:szCs w:val="20"/>
              </w:rPr>
              <w:t>15.42</w:t>
            </w:r>
          </w:p>
        </w:tc>
        <w:tc>
          <w:tcPr>
            <w:tcW w:w="0" w:type="auto"/>
            <w:tcBorders>
              <w:top w:val="nil"/>
              <w:left w:val="nil"/>
              <w:bottom w:val="nil"/>
              <w:right w:val="nil"/>
            </w:tcBorders>
            <w:vAlign w:val="bottom"/>
          </w:tcPr>
          <w:p w14:paraId="6237D431" w14:textId="77777777" w:rsidR="0065555D" w:rsidRPr="00943501" w:rsidRDefault="0065555D" w:rsidP="00FB3903">
            <w:pPr>
              <w:spacing w:line="240" w:lineRule="auto"/>
              <w:jc w:val="center"/>
              <w:rPr>
                <w:sz w:val="20"/>
                <w:szCs w:val="20"/>
              </w:rPr>
            </w:pPr>
            <w:r w:rsidRPr="00943501">
              <w:rPr>
                <w:sz w:val="20"/>
                <w:szCs w:val="20"/>
              </w:rPr>
              <w:t>8.03</w:t>
            </w:r>
          </w:p>
        </w:tc>
        <w:tc>
          <w:tcPr>
            <w:tcW w:w="0" w:type="auto"/>
            <w:tcBorders>
              <w:top w:val="nil"/>
              <w:left w:val="nil"/>
              <w:bottom w:val="nil"/>
              <w:right w:val="nil"/>
            </w:tcBorders>
            <w:shd w:val="clear" w:color="auto" w:fill="auto"/>
            <w:noWrap/>
            <w:vAlign w:val="bottom"/>
            <w:hideMark/>
          </w:tcPr>
          <w:p w14:paraId="12D44BF9" w14:textId="77777777" w:rsidR="0065555D" w:rsidRPr="00943501" w:rsidRDefault="0065555D" w:rsidP="00FB3903">
            <w:pPr>
              <w:spacing w:line="240" w:lineRule="auto"/>
              <w:jc w:val="center"/>
              <w:rPr>
                <w:sz w:val="20"/>
                <w:szCs w:val="20"/>
              </w:rPr>
            </w:pPr>
            <w:r w:rsidRPr="00943501">
              <w:rPr>
                <w:sz w:val="20"/>
                <w:szCs w:val="20"/>
              </w:rPr>
              <w:t>68.60</w:t>
            </w:r>
          </w:p>
        </w:tc>
        <w:tc>
          <w:tcPr>
            <w:tcW w:w="0" w:type="auto"/>
            <w:tcBorders>
              <w:top w:val="nil"/>
              <w:left w:val="nil"/>
              <w:bottom w:val="nil"/>
              <w:right w:val="nil"/>
            </w:tcBorders>
            <w:shd w:val="clear" w:color="auto" w:fill="auto"/>
            <w:noWrap/>
            <w:vAlign w:val="bottom"/>
            <w:hideMark/>
          </w:tcPr>
          <w:p w14:paraId="75733FB5" w14:textId="77777777" w:rsidR="0065555D" w:rsidRPr="00943501" w:rsidRDefault="0065555D" w:rsidP="00FB3903">
            <w:pPr>
              <w:spacing w:line="240" w:lineRule="auto"/>
              <w:jc w:val="center"/>
              <w:rPr>
                <w:sz w:val="20"/>
                <w:szCs w:val="20"/>
              </w:rPr>
            </w:pPr>
            <w:r w:rsidRPr="00943501">
              <w:rPr>
                <w:sz w:val="20"/>
                <w:szCs w:val="20"/>
              </w:rPr>
              <w:t>0.0745</w:t>
            </w:r>
          </w:p>
        </w:tc>
        <w:tc>
          <w:tcPr>
            <w:tcW w:w="0" w:type="auto"/>
            <w:tcBorders>
              <w:top w:val="nil"/>
              <w:left w:val="nil"/>
              <w:bottom w:val="nil"/>
              <w:right w:val="nil"/>
            </w:tcBorders>
            <w:shd w:val="clear" w:color="auto" w:fill="auto"/>
            <w:noWrap/>
            <w:vAlign w:val="bottom"/>
            <w:hideMark/>
          </w:tcPr>
          <w:p w14:paraId="6160020E" w14:textId="77777777" w:rsidR="0065555D" w:rsidRPr="00943501" w:rsidRDefault="0065555D" w:rsidP="00FB3903">
            <w:pPr>
              <w:spacing w:line="240" w:lineRule="auto"/>
              <w:jc w:val="center"/>
              <w:rPr>
                <w:sz w:val="20"/>
                <w:szCs w:val="20"/>
              </w:rPr>
            </w:pPr>
            <w:r w:rsidRPr="00943501">
              <w:rPr>
                <w:sz w:val="20"/>
                <w:szCs w:val="20"/>
              </w:rPr>
              <w:t>96.73</w:t>
            </w:r>
          </w:p>
        </w:tc>
        <w:tc>
          <w:tcPr>
            <w:tcW w:w="0" w:type="auto"/>
            <w:tcBorders>
              <w:top w:val="nil"/>
              <w:left w:val="nil"/>
              <w:bottom w:val="nil"/>
              <w:right w:val="nil"/>
            </w:tcBorders>
            <w:shd w:val="clear" w:color="auto" w:fill="auto"/>
            <w:noWrap/>
            <w:vAlign w:val="bottom"/>
            <w:hideMark/>
          </w:tcPr>
          <w:p w14:paraId="3B3BC44E" w14:textId="77777777" w:rsidR="0065555D" w:rsidRPr="00943501" w:rsidRDefault="0065555D" w:rsidP="00FB3903">
            <w:pPr>
              <w:spacing w:line="240" w:lineRule="auto"/>
              <w:jc w:val="center"/>
              <w:rPr>
                <w:sz w:val="20"/>
                <w:szCs w:val="20"/>
              </w:rPr>
            </w:pPr>
            <w:r w:rsidRPr="00943501">
              <w:rPr>
                <w:sz w:val="20"/>
                <w:szCs w:val="20"/>
              </w:rPr>
              <w:t>0.1604</w:t>
            </w:r>
          </w:p>
        </w:tc>
        <w:tc>
          <w:tcPr>
            <w:tcW w:w="0" w:type="auto"/>
            <w:tcBorders>
              <w:top w:val="nil"/>
              <w:left w:val="nil"/>
              <w:bottom w:val="nil"/>
              <w:right w:val="nil"/>
            </w:tcBorders>
            <w:shd w:val="clear" w:color="auto" w:fill="auto"/>
            <w:noWrap/>
            <w:vAlign w:val="bottom"/>
            <w:hideMark/>
          </w:tcPr>
          <w:p w14:paraId="7EE6A96B" w14:textId="77777777" w:rsidR="0065555D" w:rsidRPr="00943501" w:rsidRDefault="0065555D" w:rsidP="00FB3903">
            <w:pPr>
              <w:spacing w:line="240" w:lineRule="auto"/>
              <w:jc w:val="center"/>
              <w:rPr>
                <w:sz w:val="20"/>
                <w:szCs w:val="20"/>
              </w:rPr>
            </w:pPr>
            <w:r w:rsidRPr="00943501">
              <w:rPr>
                <w:sz w:val="20"/>
                <w:szCs w:val="20"/>
              </w:rPr>
              <w:t>17.74</w:t>
            </w:r>
          </w:p>
        </w:tc>
        <w:tc>
          <w:tcPr>
            <w:tcW w:w="0" w:type="auto"/>
            <w:tcBorders>
              <w:top w:val="nil"/>
              <w:left w:val="nil"/>
              <w:bottom w:val="nil"/>
              <w:right w:val="nil"/>
            </w:tcBorders>
            <w:shd w:val="clear" w:color="auto" w:fill="auto"/>
            <w:noWrap/>
            <w:vAlign w:val="bottom"/>
            <w:hideMark/>
          </w:tcPr>
          <w:p w14:paraId="71FE59D7" w14:textId="77777777" w:rsidR="0065555D" w:rsidRPr="00943501" w:rsidRDefault="0065555D" w:rsidP="00FB3903">
            <w:pPr>
              <w:spacing w:line="240" w:lineRule="auto"/>
              <w:jc w:val="center"/>
              <w:rPr>
                <w:sz w:val="20"/>
                <w:szCs w:val="20"/>
              </w:rPr>
            </w:pPr>
            <w:r w:rsidRPr="00943501">
              <w:rPr>
                <w:sz w:val="20"/>
                <w:szCs w:val="20"/>
              </w:rPr>
              <w:t>10.02</w:t>
            </w:r>
          </w:p>
        </w:tc>
        <w:tc>
          <w:tcPr>
            <w:tcW w:w="0" w:type="auto"/>
            <w:tcBorders>
              <w:top w:val="nil"/>
              <w:left w:val="nil"/>
              <w:bottom w:val="nil"/>
              <w:right w:val="nil"/>
            </w:tcBorders>
            <w:shd w:val="clear" w:color="auto" w:fill="auto"/>
            <w:noWrap/>
            <w:vAlign w:val="bottom"/>
            <w:hideMark/>
          </w:tcPr>
          <w:p w14:paraId="45C98391" w14:textId="77777777" w:rsidR="0065555D" w:rsidRPr="00943501" w:rsidRDefault="0065555D" w:rsidP="00FB3903">
            <w:pPr>
              <w:spacing w:line="240" w:lineRule="auto"/>
              <w:jc w:val="center"/>
              <w:rPr>
                <w:sz w:val="20"/>
                <w:szCs w:val="20"/>
              </w:rPr>
            </w:pPr>
            <w:r w:rsidRPr="00943501">
              <w:rPr>
                <w:sz w:val="20"/>
                <w:szCs w:val="20"/>
              </w:rPr>
              <w:t>1.62</w:t>
            </w:r>
          </w:p>
        </w:tc>
      </w:tr>
      <w:tr w:rsidR="0065555D" w:rsidRPr="00943501" w14:paraId="72B975A1" w14:textId="77777777" w:rsidTr="00FB3903">
        <w:trPr>
          <w:trHeight w:val="264"/>
          <w:jc w:val="center"/>
        </w:trPr>
        <w:tc>
          <w:tcPr>
            <w:tcW w:w="0" w:type="auto"/>
            <w:tcBorders>
              <w:top w:val="nil"/>
              <w:left w:val="nil"/>
              <w:bottom w:val="nil"/>
              <w:right w:val="nil"/>
            </w:tcBorders>
            <w:shd w:val="clear" w:color="auto" w:fill="auto"/>
            <w:noWrap/>
            <w:vAlign w:val="bottom"/>
            <w:hideMark/>
          </w:tcPr>
          <w:p w14:paraId="6799ECFC" w14:textId="77777777" w:rsidR="0065555D" w:rsidRPr="00943501" w:rsidRDefault="0065555D" w:rsidP="00FB3903">
            <w:pPr>
              <w:spacing w:after="0" w:line="240" w:lineRule="auto"/>
              <w:jc w:val="center"/>
              <w:rPr>
                <w:rFonts w:eastAsia="Times New Roman" w:cs="Times New Roman"/>
                <w:color w:val="000000"/>
                <w:sz w:val="20"/>
                <w:szCs w:val="20"/>
              </w:rPr>
            </w:pPr>
            <w:r w:rsidRPr="00943501">
              <w:rPr>
                <w:rFonts w:eastAsia="Times New Roman" w:cs="Times New Roman"/>
                <w:color w:val="000000"/>
                <w:sz w:val="20"/>
                <w:szCs w:val="20"/>
              </w:rPr>
              <w:t>1</w:t>
            </w:r>
          </w:p>
        </w:tc>
        <w:tc>
          <w:tcPr>
            <w:tcW w:w="0" w:type="auto"/>
            <w:tcBorders>
              <w:top w:val="nil"/>
              <w:left w:val="nil"/>
              <w:bottom w:val="nil"/>
              <w:right w:val="nil"/>
            </w:tcBorders>
            <w:shd w:val="clear" w:color="auto" w:fill="auto"/>
            <w:noWrap/>
            <w:vAlign w:val="bottom"/>
            <w:hideMark/>
          </w:tcPr>
          <w:p w14:paraId="172565AD" w14:textId="77777777" w:rsidR="0065555D" w:rsidRPr="00943501" w:rsidRDefault="0065555D" w:rsidP="00FB3903">
            <w:pPr>
              <w:spacing w:line="240" w:lineRule="auto"/>
              <w:jc w:val="center"/>
              <w:rPr>
                <w:sz w:val="20"/>
                <w:szCs w:val="20"/>
              </w:rPr>
            </w:pPr>
            <w:r w:rsidRPr="00943501">
              <w:rPr>
                <w:sz w:val="20"/>
                <w:szCs w:val="20"/>
              </w:rPr>
              <w:t>1,851</w:t>
            </w:r>
          </w:p>
        </w:tc>
        <w:tc>
          <w:tcPr>
            <w:tcW w:w="0" w:type="auto"/>
            <w:tcBorders>
              <w:top w:val="nil"/>
              <w:left w:val="nil"/>
              <w:bottom w:val="nil"/>
              <w:right w:val="nil"/>
            </w:tcBorders>
            <w:shd w:val="clear" w:color="auto" w:fill="auto"/>
            <w:noWrap/>
            <w:vAlign w:val="bottom"/>
            <w:hideMark/>
          </w:tcPr>
          <w:p w14:paraId="10BA676E" w14:textId="77777777" w:rsidR="0065555D" w:rsidRPr="00943501" w:rsidRDefault="0065555D" w:rsidP="00FB3903">
            <w:pPr>
              <w:spacing w:line="240" w:lineRule="auto"/>
              <w:jc w:val="center"/>
              <w:rPr>
                <w:sz w:val="20"/>
                <w:szCs w:val="20"/>
              </w:rPr>
            </w:pPr>
            <w:r w:rsidRPr="00943501">
              <w:rPr>
                <w:sz w:val="20"/>
                <w:szCs w:val="20"/>
              </w:rPr>
              <w:t>11.20</w:t>
            </w:r>
          </w:p>
        </w:tc>
        <w:tc>
          <w:tcPr>
            <w:tcW w:w="0" w:type="auto"/>
            <w:tcBorders>
              <w:top w:val="nil"/>
              <w:left w:val="nil"/>
              <w:bottom w:val="nil"/>
              <w:right w:val="nil"/>
            </w:tcBorders>
            <w:shd w:val="clear" w:color="auto" w:fill="auto"/>
            <w:noWrap/>
            <w:vAlign w:val="bottom"/>
            <w:hideMark/>
          </w:tcPr>
          <w:p w14:paraId="5A1EA8AC" w14:textId="77777777" w:rsidR="0065555D" w:rsidRPr="00943501" w:rsidRDefault="0065555D" w:rsidP="00FB3903">
            <w:pPr>
              <w:spacing w:line="240" w:lineRule="auto"/>
              <w:jc w:val="center"/>
              <w:rPr>
                <w:sz w:val="20"/>
                <w:szCs w:val="20"/>
              </w:rPr>
            </w:pPr>
            <w:r w:rsidRPr="00943501">
              <w:rPr>
                <w:sz w:val="20"/>
                <w:szCs w:val="20"/>
              </w:rPr>
              <w:t>1.00</w:t>
            </w:r>
          </w:p>
        </w:tc>
        <w:tc>
          <w:tcPr>
            <w:tcW w:w="0" w:type="auto"/>
            <w:tcBorders>
              <w:top w:val="nil"/>
              <w:left w:val="nil"/>
              <w:bottom w:val="nil"/>
              <w:right w:val="nil"/>
            </w:tcBorders>
            <w:shd w:val="clear" w:color="auto" w:fill="auto"/>
            <w:noWrap/>
            <w:vAlign w:val="bottom"/>
            <w:hideMark/>
          </w:tcPr>
          <w:p w14:paraId="6539B3C9" w14:textId="77777777" w:rsidR="0065555D" w:rsidRPr="00943501" w:rsidRDefault="0065555D" w:rsidP="00FB3903">
            <w:pPr>
              <w:spacing w:line="240" w:lineRule="auto"/>
              <w:jc w:val="center"/>
              <w:rPr>
                <w:sz w:val="20"/>
                <w:szCs w:val="20"/>
              </w:rPr>
            </w:pPr>
            <w:r w:rsidRPr="00943501">
              <w:rPr>
                <w:sz w:val="20"/>
                <w:szCs w:val="20"/>
              </w:rPr>
              <w:t>37.02</w:t>
            </w:r>
          </w:p>
        </w:tc>
        <w:tc>
          <w:tcPr>
            <w:tcW w:w="0" w:type="auto"/>
            <w:tcBorders>
              <w:top w:val="nil"/>
              <w:left w:val="nil"/>
              <w:bottom w:val="nil"/>
              <w:right w:val="nil"/>
            </w:tcBorders>
            <w:shd w:val="clear" w:color="auto" w:fill="auto"/>
            <w:noWrap/>
            <w:vAlign w:val="bottom"/>
            <w:hideMark/>
          </w:tcPr>
          <w:p w14:paraId="71B31609" w14:textId="77777777" w:rsidR="0065555D" w:rsidRPr="00943501" w:rsidRDefault="0065555D" w:rsidP="00FB3903">
            <w:pPr>
              <w:spacing w:line="240" w:lineRule="auto"/>
              <w:jc w:val="center"/>
              <w:rPr>
                <w:sz w:val="20"/>
                <w:szCs w:val="20"/>
              </w:rPr>
            </w:pPr>
            <w:r w:rsidRPr="00943501">
              <w:rPr>
                <w:sz w:val="20"/>
                <w:szCs w:val="20"/>
              </w:rPr>
              <w:t>0.76</w:t>
            </w:r>
          </w:p>
        </w:tc>
        <w:tc>
          <w:tcPr>
            <w:tcW w:w="0" w:type="auto"/>
            <w:tcBorders>
              <w:top w:val="nil"/>
              <w:left w:val="nil"/>
              <w:bottom w:val="nil"/>
              <w:right w:val="nil"/>
            </w:tcBorders>
            <w:shd w:val="clear" w:color="auto" w:fill="auto"/>
            <w:noWrap/>
            <w:vAlign w:val="bottom"/>
            <w:hideMark/>
          </w:tcPr>
          <w:p w14:paraId="7E61464F" w14:textId="77777777" w:rsidR="0065555D" w:rsidRPr="00943501" w:rsidRDefault="0065555D" w:rsidP="00FB3903">
            <w:pPr>
              <w:spacing w:line="240" w:lineRule="auto"/>
              <w:jc w:val="center"/>
              <w:rPr>
                <w:sz w:val="20"/>
                <w:szCs w:val="20"/>
              </w:rPr>
            </w:pPr>
            <w:r w:rsidRPr="00943501">
              <w:rPr>
                <w:sz w:val="20"/>
                <w:szCs w:val="20"/>
              </w:rPr>
              <w:t>1.4119</w:t>
            </w:r>
          </w:p>
        </w:tc>
        <w:tc>
          <w:tcPr>
            <w:tcW w:w="0" w:type="auto"/>
            <w:tcBorders>
              <w:top w:val="nil"/>
              <w:left w:val="nil"/>
              <w:bottom w:val="nil"/>
              <w:right w:val="nil"/>
            </w:tcBorders>
            <w:shd w:val="clear" w:color="auto" w:fill="auto"/>
            <w:noWrap/>
            <w:vAlign w:val="bottom"/>
            <w:hideMark/>
          </w:tcPr>
          <w:p w14:paraId="74D34C64" w14:textId="77777777" w:rsidR="0065555D" w:rsidRPr="00943501" w:rsidRDefault="0065555D" w:rsidP="00FB3903">
            <w:pPr>
              <w:spacing w:line="240" w:lineRule="auto"/>
              <w:jc w:val="center"/>
              <w:rPr>
                <w:sz w:val="20"/>
                <w:szCs w:val="20"/>
              </w:rPr>
            </w:pPr>
            <w:r w:rsidRPr="00943501">
              <w:rPr>
                <w:sz w:val="20"/>
                <w:szCs w:val="20"/>
              </w:rPr>
              <w:t>14.28</w:t>
            </w:r>
          </w:p>
        </w:tc>
        <w:tc>
          <w:tcPr>
            <w:tcW w:w="0" w:type="auto"/>
            <w:tcBorders>
              <w:top w:val="nil"/>
              <w:left w:val="nil"/>
              <w:bottom w:val="nil"/>
              <w:right w:val="nil"/>
            </w:tcBorders>
            <w:vAlign w:val="bottom"/>
          </w:tcPr>
          <w:p w14:paraId="692696BB" w14:textId="77777777" w:rsidR="0065555D" w:rsidRPr="00943501" w:rsidRDefault="0065555D" w:rsidP="00FB3903">
            <w:pPr>
              <w:spacing w:line="240" w:lineRule="auto"/>
              <w:jc w:val="center"/>
              <w:rPr>
                <w:sz w:val="20"/>
                <w:szCs w:val="20"/>
              </w:rPr>
            </w:pPr>
            <w:r w:rsidRPr="00943501">
              <w:rPr>
                <w:sz w:val="20"/>
                <w:szCs w:val="20"/>
              </w:rPr>
              <w:t>7.26</w:t>
            </w:r>
          </w:p>
        </w:tc>
        <w:tc>
          <w:tcPr>
            <w:tcW w:w="0" w:type="auto"/>
            <w:tcBorders>
              <w:top w:val="nil"/>
              <w:left w:val="nil"/>
              <w:bottom w:val="nil"/>
              <w:right w:val="nil"/>
            </w:tcBorders>
            <w:shd w:val="clear" w:color="auto" w:fill="auto"/>
            <w:noWrap/>
            <w:vAlign w:val="bottom"/>
            <w:hideMark/>
          </w:tcPr>
          <w:p w14:paraId="08716E43" w14:textId="77777777" w:rsidR="0065555D" w:rsidRPr="00943501" w:rsidRDefault="0065555D" w:rsidP="00FB3903">
            <w:pPr>
              <w:spacing w:line="240" w:lineRule="auto"/>
              <w:jc w:val="center"/>
              <w:rPr>
                <w:sz w:val="20"/>
                <w:szCs w:val="20"/>
              </w:rPr>
            </w:pPr>
            <w:r w:rsidRPr="00943501">
              <w:rPr>
                <w:sz w:val="20"/>
                <w:szCs w:val="20"/>
              </w:rPr>
              <w:t>72.86</w:t>
            </w:r>
          </w:p>
        </w:tc>
        <w:tc>
          <w:tcPr>
            <w:tcW w:w="0" w:type="auto"/>
            <w:tcBorders>
              <w:top w:val="nil"/>
              <w:left w:val="nil"/>
              <w:bottom w:val="nil"/>
              <w:right w:val="nil"/>
            </w:tcBorders>
            <w:shd w:val="clear" w:color="auto" w:fill="auto"/>
            <w:noWrap/>
            <w:vAlign w:val="bottom"/>
            <w:hideMark/>
          </w:tcPr>
          <w:p w14:paraId="029FAA27" w14:textId="77777777" w:rsidR="0065555D" w:rsidRPr="00943501" w:rsidRDefault="0065555D" w:rsidP="00FB3903">
            <w:pPr>
              <w:spacing w:line="240" w:lineRule="auto"/>
              <w:jc w:val="center"/>
              <w:rPr>
                <w:sz w:val="20"/>
                <w:szCs w:val="20"/>
              </w:rPr>
            </w:pPr>
            <w:r w:rsidRPr="00943501">
              <w:rPr>
                <w:sz w:val="20"/>
                <w:szCs w:val="20"/>
              </w:rPr>
              <w:t>0.0729</w:t>
            </w:r>
          </w:p>
        </w:tc>
        <w:tc>
          <w:tcPr>
            <w:tcW w:w="0" w:type="auto"/>
            <w:tcBorders>
              <w:top w:val="nil"/>
              <w:left w:val="nil"/>
              <w:bottom w:val="nil"/>
              <w:right w:val="nil"/>
            </w:tcBorders>
            <w:shd w:val="clear" w:color="auto" w:fill="auto"/>
            <w:noWrap/>
            <w:vAlign w:val="bottom"/>
            <w:hideMark/>
          </w:tcPr>
          <w:p w14:paraId="424F5B48" w14:textId="77777777" w:rsidR="0065555D" w:rsidRPr="00943501" w:rsidRDefault="0065555D" w:rsidP="00FB3903">
            <w:pPr>
              <w:spacing w:line="240" w:lineRule="auto"/>
              <w:jc w:val="center"/>
              <w:rPr>
                <w:sz w:val="20"/>
                <w:szCs w:val="20"/>
              </w:rPr>
            </w:pPr>
            <w:r w:rsidRPr="00943501">
              <w:rPr>
                <w:sz w:val="20"/>
                <w:szCs w:val="20"/>
              </w:rPr>
              <w:t>95.41</w:t>
            </w:r>
          </w:p>
        </w:tc>
        <w:tc>
          <w:tcPr>
            <w:tcW w:w="0" w:type="auto"/>
            <w:tcBorders>
              <w:top w:val="nil"/>
              <w:left w:val="nil"/>
              <w:bottom w:val="nil"/>
              <w:right w:val="nil"/>
            </w:tcBorders>
            <w:shd w:val="clear" w:color="auto" w:fill="auto"/>
            <w:noWrap/>
            <w:vAlign w:val="bottom"/>
            <w:hideMark/>
          </w:tcPr>
          <w:p w14:paraId="796DAD13" w14:textId="77777777" w:rsidR="0065555D" w:rsidRPr="00943501" w:rsidRDefault="0065555D" w:rsidP="00FB3903">
            <w:pPr>
              <w:spacing w:line="240" w:lineRule="auto"/>
              <w:jc w:val="center"/>
              <w:rPr>
                <w:sz w:val="20"/>
                <w:szCs w:val="20"/>
              </w:rPr>
            </w:pPr>
            <w:r w:rsidRPr="00943501">
              <w:rPr>
                <w:sz w:val="20"/>
                <w:szCs w:val="20"/>
              </w:rPr>
              <w:t>0.1308</w:t>
            </w:r>
          </w:p>
        </w:tc>
        <w:tc>
          <w:tcPr>
            <w:tcW w:w="0" w:type="auto"/>
            <w:tcBorders>
              <w:top w:val="nil"/>
              <w:left w:val="nil"/>
              <w:bottom w:val="nil"/>
              <w:right w:val="nil"/>
            </w:tcBorders>
            <w:shd w:val="clear" w:color="auto" w:fill="auto"/>
            <w:noWrap/>
            <w:vAlign w:val="bottom"/>
            <w:hideMark/>
          </w:tcPr>
          <w:p w14:paraId="7F95B386" w14:textId="77777777" w:rsidR="0065555D" w:rsidRPr="00943501" w:rsidRDefault="0065555D" w:rsidP="00FB3903">
            <w:pPr>
              <w:spacing w:line="240" w:lineRule="auto"/>
              <w:jc w:val="center"/>
              <w:rPr>
                <w:sz w:val="20"/>
                <w:szCs w:val="20"/>
              </w:rPr>
            </w:pPr>
            <w:r w:rsidRPr="00943501">
              <w:rPr>
                <w:sz w:val="20"/>
                <w:szCs w:val="20"/>
              </w:rPr>
              <w:t>14.70</w:t>
            </w:r>
          </w:p>
        </w:tc>
        <w:tc>
          <w:tcPr>
            <w:tcW w:w="0" w:type="auto"/>
            <w:tcBorders>
              <w:top w:val="nil"/>
              <w:left w:val="nil"/>
              <w:bottom w:val="nil"/>
              <w:right w:val="nil"/>
            </w:tcBorders>
            <w:shd w:val="clear" w:color="auto" w:fill="auto"/>
            <w:noWrap/>
            <w:vAlign w:val="bottom"/>
            <w:hideMark/>
          </w:tcPr>
          <w:p w14:paraId="2D15252D" w14:textId="77777777" w:rsidR="0065555D" w:rsidRPr="00943501" w:rsidRDefault="0065555D" w:rsidP="00FB3903">
            <w:pPr>
              <w:spacing w:line="240" w:lineRule="auto"/>
              <w:jc w:val="center"/>
              <w:rPr>
                <w:sz w:val="20"/>
                <w:szCs w:val="20"/>
              </w:rPr>
            </w:pPr>
            <w:r w:rsidRPr="00943501">
              <w:rPr>
                <w:sz w:val="20"/>
                <w:szCs w:val="20"/>
              </w:rPr>
              <w:t>9.94</w:t>
            </w:r>
          </w:p>
        </w:tc>
        <w:tc>
          <w:tcPr>
            <w:tcW w:w="0" w:type="auto"/>
            <w:tcBorders>
              <w:top w:val="nil"/>
              <w:left w:val="nil"/>
              <w:bottom w:val="nil"/>
              <w:right w:val="nil"/>
            </w:tcBorders>
            <w:shd w:val="clear" w:color="auto" w:fill="auto"/>
            <w:noWrap/>
            <w:vAlign w:val="bottom"/>
            <w:hideMark/>
          </w:tcPr>
          <w:p w14:paraId="1F3FEED0" w14:textId="77777777" w:rsidR="0065555D" w:rsidRPr="00943501" w:rsidRDefault="0065555D" w:rsidP="00FB3903">
            <w:pPr>
              <w:spacing w:line="240" w:lineRule="auto"/>
              <w:jc w:val="center"/>
              <w:rPr>
                <w:sz w:val="20"/>
                <w:szCs w:val="20"/>
              </w:rPr>
            </w:pPr>
            <w:r w:rsidRPr="00943501">
              <w:rPr>
                <w:sz w:val="20"/>
                <w:szCs w:val="20"/>
              </w:rPr>
              <w:t>1.49</w:t>
            </w:r>
          </w:p>
        </w:tc>
      </w:tr>
      <w:tr w:rsidR="0065555D" w:rsidRPr="00943501" w14:paraId="4B48C9F3" w14:textId="77777777" w:rsidTr="00FB3903">
        <w:trPr>
          <w:trHeight w:val="264"/>
          <w:jc w:val="center"/>
        </w:trPr>
        <w:tc>
          <w:tcPr>
            <w:tcW w:w="0" w:type="auto"/>
            <w:tcBorders>
              <w:top w:val="single" w:sz="4" w:space="0" w:color="auto"/>
              <w:left w:val="nil"/>
              <w:bottom w:val="single" w:sz="4" w:space="0" w:color="auto"/>
              <w:right w:val="nil"/>
            </w:tcBorders>
            <w:shd w:val="clear" w:color="auto" w:fill="auto"/>
            <w:noWrap/>
            <w:vAlign w:val="bottom"/>
            <w:hideMark/>
          </w:tcPr>
          <w:p w14:paraId="4FE29A0C" w14:textId="77777777" w:rsidR="0065555D" w:rsidRPr="00943501" w:rsidRDefault="0065555D" w:rsidP="00FB3903">
            <w:pPr>
              <w:spacing w:after="0" w:line="240" w:lineRule="auto"/>
              <w:jc w:val="center"/>
              <w:rPr>
                <w:rFonts w:eastAsia="Times New Roman" w:cs="Times New Roman"/>
                <w:color w:val="000000"/>
                <w:sz w:val="20"/>
                <w:szCs w:val="20"/>
              </w:rPr>
            </w:pPr>
            <w:r w:rsidRPr="00943501">
              <w:rPr>
                <w:rFonts w:eastAsia="Times New Roman" w:cs="Times New Roman"/>
                <w:color w:val="000000"/>
                <w:sz w:val="20"/>
                <w:szCs w:val="20"/>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433CA23D" w14:textId="77777777" w:rsidR="0065555D" w:rsidRPr="00943501" w:rsidRDefault="0065555D" w:rsidP="00FB3903">
            <w:pPr>
              <w:spacing w:line="240" w:lineRule="auto"/>
              <w:jc w:val="center"/>
              <w:rPr>
                <w:sz w:val="20"/>
                <w:szCs w:val="20"/>
              </w:rPr>
            </w:pPr>
            <w:r w:rsidRPr="00943501">
              <w:rPr>
                <w:sz w:val="20"/>
                <w:szCs w:val="20"/>
              </w:rPr>
              <w:t>16,529</w:t>
            </w:r>
          </w:p>
        </w:tc>
        <w:tc>
          <w:tcPr>
            <w:tcW w:w="0" w:type="auto"/>
            <w:tcBorders>
              <w:top w:val="single" w:sz="4" w:space="0" w:color="auto"/>
              <w:left w:val="nil"/>
              <w:bottom w:val="single" w:sz="4" w:space="0" w:color="auto"/>
              <w:right w:val="nil"/>
            </w:tcBorders>
            <w:shd w:val="clear" w:color="auto" w:fill="auto"/>
            <w:noWrap/>
            <w:vAlign w:val="bottom"/>
            <w:hideMark/>
          </w:tcPr>
          <w:p w14:paraId="0828DCE0" w14:textId="77777777" w:rsidR="0065555D" w:rsidRPr="00943501" w:rsidRDefault="0065555D" w:rsidP="00FB3903">
            <w:pPr>
              <w:spacing w:line="240" w:lineRule="auto"/>
              <w:jc w:val="center"/>
              <w:rPr>
                <w:sz w:val="20"/>
                <w:szCs w:val="20"/>
              </w:rPr>
            </w:pPr>
            <w:r w:rsidRPr="00943501">
              <w:rPr>
                <w:sz w:val="20"/>
                <w:szCs w:val="20"/>
              </w:rPr>
              <w:t>100.00</w:t>
            </w:r>
          </w:p>
        </w:tc>
        <w:tc>
          <w:tcPr>
            <w:tcW w:w="0" w:type="auto"/>
            <w:tcBorders>
              <w:top w:val="single" w:sz="4" w:space="0" w:color="auto"/>
              <w:left w:val="nil"/>
              <w:bottom w:val="single" w:sz="4" w:space="0" w:color="auto"/>
              <w:right w:val="nil"/>
            </w:tcBorders>
            <w:shd w:val="clear" w:color="auto" w:fill="auto"/>
            <w:noWrap/>
            <w:vAlign w:val="bottom"/>
            <w:hideMark/>
          </w:tcPr>
          <w:p w14:paraId="22AE2145" w14:textId="77777777" w:rsidR="0065555D" w:rsidRPr="00943501" w:rsidRDefault="0065555D" w:rsidP="00FB3903">
            <w:pPr>
              <w:spacing w:line="240" w:lineRule="auto"/>
              <w:jc w:val="center"/>
              <w:rPr>
                <w:sz w:val="20"/>
                <w:szCs w:val="20"/>
              </w:rPr>
            </w:pPr>
            <w:r w:rsidRPr="00943501">
              <w:rPr>
                <w:sz w:val="20"/>
                <w:szCs w:val="20"/>
              </w:rPr>
              <w:t>0.11</w:t>
            </w:r>
          </w:p>
        </w:tc>
        <w:tc>
          <w:tcPr>
            <w:tcW w:w="0" w:type="auto"/>
            <w:tcBorders>
              <w:top w:val="single" w:sz="4" w:space="0" w:color="auto"/>
              <w:left w:val="nil"/>
              <w:bottom w:val="single" w:sz="4" w:space="0" w:color="auto"/>
              <w:right w:val="nil"/>
            </w:tcBorders>
            <w:shd w:val="clear" w:color="auto" w:fill="auto"/>
            <w:noWrap/>
            <w:vAlign w:val="bottom"/>
            <w:hideMark/>
          </w:tcPr>
          <w:p w14:paraId="0D3F07C5" w14:textId="77777777" w:rsidR="0065555D" w:rsidRPr="00943501" w:rsidRDefault="0065555D" w:rsidP="00FB3903">
            <w:pPr>
              <w:spacing w:line="240" w:lineRule="auto"/>
              <w:jc w:val="center"/>
              <w:rPr>
                <w:sz w:val="20"/>
                <w:szCs w:val="20"/>
              </w:rPr>
            </w:pPr>
            <w:r w:rsidRPr="00943501">
              <w:rPr>
                <w:sz w:val="20"/>
                <w:szCs w:val="20"/>
              </w:rPr>
              <w:t>47.01</w:t>
            </w:r>
          </w:p>
        </w:tc>
        <w:tc>
          <w:tcPr>
            <w:tcW w:w="0" w:type="auto"/>
            <w:tcBorders>
              <w:top w:val="single" w:sz="4" w:space="0" w:color="auto"/>
              <w:left w:val="nil"/>
              <w:bottom w:val="single" w:sz="4" w:space="0" w:color="auto"/>
              <w:right w:val="nil"/>
            </w:tcBorders>
            <w:shd w:val="clear" w:color="auto" w:fill="auto"/>
            <w:noWrap/>
            <w:vAlign w:val="bottom"/>
            <w:hideMark/>
          </w:tcPr>
          <w:p w14:paraId="4619D0C8" w14:textId="77777777" w:rsidR="0065555D" w:rsidRPr="00943501" w:rsidRDefault="0065555D" w:rsidP="00FB3903">
            <w:pPr>
              <w:spacing w:line="240" w:lineRule="auto"/>
              <w:jc w:val="center"/>
              <w:rPr>
                <w:sz w:val="20"/>
                <w:szCs w:val="20"/>
              </w:rPr>
            </w:pPr>
            <w:r w:rsidRPr="00943501">
              <w:rPr>
                <w:sz w:val="20"/>
                <w:szCs w:val="20"/>
              </w:rPr>
              <w:t>0.61</w:t>
            </w:r>
          </w:p>
        </w:tc>
        <w:tc>
          <w:tcPr>
            <w:tcW w:w="0" w:type="auto"/>
            <w:tcBorders>
              <w:top w:val="single" w:sz="4" w:space="0" w:color="auto"/>
              <w:left w:val="nil"/>
              <w:bottom w:val="single" w:sz="4" w:space="0" w:color="auto"/>
              <w:right w:val="nil"/>
            </w:tcBorders>
            <w:shd w:val="clear" w:color="auto" w:fill="auto"/>
            <w:noWrap/>
            <w:vAlign w:val="bottom"/>
            <w:hideMark/>
          </w:tcPr>
          <w:p w14:paraId="676B55AE" w14:textId="77777777" w:rsidR="0065555D" w:rsidRPr="00943501" w:rsidRDefault="0065555D" w:rsidP="00FB3903">
            <w:pPr>
              <w:spacing w:line="240" w:lineRule="auto"/>
              <w:jc w:val="center"/>
              <w:rPr>
                <w:sz w:val="20"/>
                <w:szCs w:val="20"/>
              </w:rPr>
            </w:pPr>
            <w:r w:rsidRPr="00943501">
              <w:rPr>
                <w:sz w:val="20"/>
                <w:szCs w:val="20"/>
              </w:rPr>
              <w:t>1.4681</w:t>
            </w:r>
          </w:p>
        </w:tc>
        <w:tc>
          <w:tcPr>
            <w:tcW w:w="0" w:type="auto"/>
            <w:tcBorders>
              <w:top w:val="single" w:sz="4" w:space="0" w:color="auto"/>
              <w:left w:val="nil"/>
              <w:bottom w:val="single" w:sz="4" w:space="0" w:color="auto"/>
              <w:right w:val="nil"/>
            </w:tcBorders>
            <w:shd w:val="clear" w:color="auto" w:fill="auto"/>
            <w:noWrap/>
            <w:vAlign w:val="bottom"/>
            <w:hideMark/>
          </w:tcPr>
          <w:p w14:paraId="1BC2E9ED" w14:textId="77777777" w:rsidR="0065555D" w:rsidRPr="00943501" w:rsidRDefault="0065555D" w:rsidP="00FB3903">
            <w:pPr>
              <w:spacing w:line="240" w:lineRule="auto"/>
              <w:jc w:val="center"/>
              <w:rPr>
                <w:sz w:val="20"/>
                <w:szCs w:val="20"/>
              </w:rPr>
            </w:pPr>
            <w:r w:rsidRPr="00943501">
              <w:rPr>
                <w:sz w:val="20"/>
                <w:szCs w:val="20"/>
              </w:rPr>
              <w:t>15.29</w:t>
            </w:r>
          </w:p>
        </w:tc>
        <w:tc>
          <w:tcPr>
            <w:tcW w:w="0" w:type="auto"/>
            <w:tcBorders>
              <w:top w:val="single" w:sz="4" w:space="0" w:color="auto"/>
              <w:left w:val="nil"/>
              <w:bottom w:val="single" w:sz="4" w:space="0" w:color="auto"/>
              <w:right w:val="nil"/>
            </w:tcBorders>
            <w:vAlign w:val="bottom"/>
          </w:tcPr>
          <w:p w14:paraId="1F94EA4A" w14:textId="77777777" w:rsidR="0065555D" w:rsidRPr="00943501" w:rsidRDefault="0065555D" w:rsidP="00FB3903">
            <w:pPr>
              <w:spacing w:line="240" w:lineRule="auto"/>
              <w:jc w:val="center"/>
              <w:rPr>
                <w:sz w:val="20"/>
                <w:szCs w:val="20"/>
              </w:rPr>
            </w:pPr>
            <w:r w:rsidRPr="00943501">
              <w:rPr>
                <w:sz w:val="20"/>
                <w:szCs w:val="20"/>
              </w:rPr>
              <w:t>7.94</w:t>
            </w:r>
          </w:p>
        </w:tc>
        <w:tc>
          <w:tcPr>
            <w:tcW w:w="0" w:type="auto"/>
            <w:tcBorders>
              <w:top w:val="single" w:sz="4" w:space="0" w:color="auto"/>
              <w:left w:val="nil"/>
              <w:bottom w:val="single" w:sz="4" w:space="0" w:color="auto"/>
              <w:right w:val="nil"/>
            </w:tcBorders>
            <w:shd w:val="clear" w:color="auto" w:fill="auto"/>
            <w:noWrap/>
            <w:vAlign w:val="bottom"/>
            <w:hideMark/>
          </w:tcPr>
          <w:p w14:paraId="2EECCD69" w14:textId="77777777" w:rsidR="0065555D" w:rsidRPr="00943501" w:rsidRDefault="0065555D" w:rsidP="00FB3903">
            <w:pPr>
              <w:spacing w:line="240" w:lineRule="auto"/>
              <w:jc w:val="center"/>
              <w:rPr>
                <w:sz w:val="20"/>
                <w:szCs w:val="20"/>
              </w:rPr>
            </w:pPr>
            <w:r w:rsidRPr="00943501">
              <w:rPr>
                <w:sz w:val="20"/>
                <w:szCs w:val="20"/>
              </w:rPr>
              <w:t>69.08</w:t>
            </w:r>
          </w:p>
        </w:tc>
        <w:tc>
          <w:tcPr>
            <w:tcW w:w="0" w:type="auto"/>
            <w:tcBorders>
              <w:top w:val="single" w:sz="4" w:space="0" w:color="auto"/>
              <w:left w:val="nil"/>
              <w:bottom w:val="single" w:sz="4" w:space="0" w:color="auto"/>
              <w:right w:val="nil"/>
            </w:tcBorders>
            <w:shd w:val="clear" w:color="auto" w:fill="auto"/>
            <w:noWrap/>
            <w:vAlign w:val="bottom"/>
            <w:hideMark/>
          </w:tcPr>
          <w:p w14:paraId="4D90F548" w14:textId="77777777" w:rsidR="0065555D" w:rsidRPr="00943501" w:rsidRDefault="0065555D" w:rsidP="00FB3903">
            <w:pPr>
              <w:spacing w:line="240" w:lineRule="auto"/>
              <w:jc w:val="center"/>
              <w:rPr>
                <w:sz w:val="20"/>
                <w:szCs w:val="20"/>
              </w:rPr>
            </w:pPr>
            <w:r w:rsidRPr="00943501">
              <w:rPr>
                <w:sz w:val="20"/>
                <w:szCs w:val="20"/>
              </w:rPr>
              <w:t>0.0743</w:t>
            </w:r>
          </w:p>
        </w:tc>
        <w:tc>
          <w:tcPr>
            <w:tcW w:w="0" w:type="auto"/>
            <w:tcBorders>
              <w:top w:val="single" w:sz="4" w:space="0" w:color="auto"/>
              <w:left w:val="nil"/>
              <w:bottom w:val="single" w:sz="4" w:space="0" w:color="auto"/>
              <w:right w:val="nil"/>
            </w:tcBorders>
            <w:shd w:val="clear" w:color="auto" w:fill="auto"/>
            <w:noWrap/>
            <w:vAlign w:val="bottom"/>
            <w:hideMark/>
          </w:tcPr>
          <w:p w14:paraId="4D1EB794" w14:textId="77777777" w:rsidR="0065555D" w:rsidRPr="00943501" w:rsidRDefault="0065555D" w:rsidP="00FB3903">
            <w:pPr>
              <w:spacing w:line="240" w:lineRule="auto"/>
              <w:jc w:val="center"/>
              <w:rPr>
                <w:sz w:val="20"/>
                <w:szCs w:val="20"/>
              </w:rPr>
            </w:pPr>
            <w:r w:rsidRPr="00943501">
              <w:rPr>
                <w:sz w:val="20"/>
                <w:szCs w:val="20"/>
              </w:rPr>
              <w:t>96.58</w:t>
            </w:r>
          </w:p>
        </w:tc>
        <w:tc>
          <w:tcPr>
            <w:tcW w:w="0" w:type="auto"/>
            <w:tcBorders>
              <w:top w:val="single" w:sz="4" w:space="0" w:color="auto"/>
              <w:left w:val="nil"/>
              <w:bottom w:val="single" w:sz="4" w:space="0" w:color="auto"/>
              <w:right w:val="nil"/>
            </w:tcBorders>
            <w:shd w:val="clear" w:color="auto" w:fill="auto"/>
            <w:noWrap/>
            <w:vAlign w:val="bottom"/>
            <w:hideMark/>
          </w:tcPr>
          <w:p w14:paraId="2E757C3D" w14:textId="77777777" w:rsidR="0065555D" w:rsidRPr="00943501" w:rsidRDefault="0065555D" w:rsidP="00FB3903">
            <w:pPr>
              <w:spacing w:line="240" w:lineRule="auto"/>
              <w:jc w:val="center"/>
              <w:rPr>
                <w:sz w:val="20"/>
                <w:szCs w:val="20"/>
              </w:rPr>
            </w:pPr>
            <w:r w:rsidRPr="00943501">
              <w:rPr>
                <w:sz w:val="20"/>
                <w:szCs w:val="20"/>
              </w:rPr>
              <w:t>0.1571</w:t>
            </w:r>
          </w:p>
        </w:tc>
        <w:tc>
          <w:tcPr>
            <w:tcW w:w="0" w:type="auto"/>
            <w:tcBorders>
              <w:top w:val="single" w:sz="4" w:space="0" w:color="auto"/>
              <w:left w:val="nil"/>
              <w:bottom w:val="single" w:sz="4" w:space="0" w:color="auto"/>
              <w:right w:val="nil"/>
            </w:tcBorders>
            <w:shd w:val="clear" w:color="auto" w:fill="auto"/>
            <w:noWrap/>
            <w:vAlign w:val="bottom"/>
            <w:hideMark/>
          </w:tcPr>
          <w:p w14:paraId="6C2BF0F9" w14:textId="77777777" w:rsidR="0065555D" w:rsidRPr="00943501" w:rsidRDefault="0065555D" w:rsidP="00FB3903">
            <w:pPr>
              <w:spacing w:line="240" w:lineRule="auto"/>
              <w:jc w:val="center"/>
              <w:rPr>
                <w:sz w:val="20"/>
                <w:szCs w:val="20"/>
              </w:rPr>
            </w:pPr>
            <w:r w:rsidRPr="00943501">
              <w:rPr>
                <w:sz w:val="20"/>
                <w:szCs w:val="20"/>
              </w:rPr>
              <w:t>17.40</w:t>
            </w:r>
          </w:p>
        </w:tc>
        <w:tc>
          <w:tcPr>
            <w:tcW w:w="0" w:type="auto"/>
            <w:tcBorders>
              <w:top w:val="single" w:sz="4" w:space="0" w:color="auto"/>
              <w:left w:val="nil"/>
              <w:bottom w:val="single" w:sz="4" w:space="0" w:color="auto"/>
              <w:right w:val="nil"/>
            </w:tcBorders>
            <w:shd w:val="clear" w:color="auto" w:fill="auto"/>
            <w:noWrap/>
            <w:vAlign w:val="bottom"/>
            <w:hideMark/>
          </w:tcPr>
          <w:p w14:paraId="6CC85EDD" w14:textId="77777777" w:rsidR="0065555D" w:rsidRPr="00943501" w:rsidRDefault="0065555D" w:rsidP="00FB3903">
            <w:pPr>
              <w:spacing w:line="240" w:lineRule="auto"/>
              <w:jc w:val="center"/>
              <w:rPr>
                <w:sz w:val="20"/>
                <w:szCs w:val="20"/>
              </w:rPr>
            </w:pPr>
            <w:r w:rsidRPr="00943501">
              <w:rPr>
                <w:sz w:val="20"/>
                <w:szCs w:val="20"/>
              </w:rPr>
              <w:t>10.01</w:t>
            </w:r>
          </w:p>
        </w:tc>
        <w:tc>
          <w:tcPr>
            <w:tcW w:w="0" w:type="auto"/>
            <w:tcBorders>
              <w:top w:val="single" w:sz="4" w:space="0" w:color="auto"/>
              <w:left w:val="nil"/>
              <w:bottom w:val="single" w:sz="4" w:space="0" w:color="auto"/>
              <w:right w:val="nil"/>
            </w:tcBorders>
            <w:shd w:val="clear" w:color="auto" w:fill="auto"/>
            <w:noWrap/>
            <w:vAlign w:val="bottom"/>
            <w:hideMark/>
          </w:tcPr>
          <w:p w14:paraId="5DEC3F64" w14:textId="77777777" w:rsidR="0065555D" w:rsidRPr="00943501" w:rsidRDefault="0065555D" w:rsidP="00FB3903">
            <w:pPr>
              <w:spacing w:line="240" w:lineRule="auto"/>
              <w:jc w:val="center"/>
              <w:rPr>
                <w:sz w:val="20"/>
                <w:szCs w:val="20"/>
              </w:rPr>
            </w:pPr>
            <w:r w:rsidRPr="00943501">
              <w:rPr>
                <w:sz w:val="20"/>
                <w:szCs w:val="20"/>
              </w:rPr>
              <w:t>1.61</w:t>
            </w:r>
          </w:p>
        </w:tc>
      </w:tr>
    </w:tbl>
    <w:p w14:paraId="42785B53" w14:textId="77777777" w:rsidR="0065555D" w:rsidRDefault="0065555D" w:rsidP="00FB3903">
      <w:pPr>
        <w:spacing w:line="240" w:lineRule="auto"/>
      </w:pPr>
    </w:p>
    <w:p w14:paraId="1E545625" w14:textId="77777777" w:rsidR="0065555D" w:rsidRDefault="0065555D" w:rsidP="00FB3903">
      <w:pPr>
        <w:spacing w:line="240" w:lineRule="auto"/>
      </w:pPr>
      <w:r>
        <w:t>Panel B: Summary Statistics by Default Group for HHI Sample</w:t>
      </w:r>
    </w:p>
    <w:tbl>
      <w:tblPr>
        <w:tblW w:w="0" w:type="auto"/>
        <w:jc w:val="center"/>
        <w:tblCellMar>
          <w:left w:w="43" w:type="dxa"/>
          <w:right w:w="43" w:type="dxa"/>
        </w:tblCellMar>
        <w:tblLook w:val="04A0" w:firstRow="1" w:lastRow="0" w:firstColumn="1" w:lastColumn="0" w:noHBand="0" w:noVBand="1"/>
      </w:tblPr>
      <w:tblGrid>
        <w:gridCol w:w="1108"/>
        <w:gridCol w:w="636"/>
        <w:gridCol w:w="686"/>
        <w:gridCol w:w="1116"/>
        <w:gridCol w:w="536"/>
        <w:gridCol w:w="1125"/>
        <w:gridCol w:w="642"/>
        <w:gridCol w:w="1014"/>
        <w:gridCol w:w="1014"/>
        <w:gridCol w:w="536"/>
        <w:gridCol w:w="775"/>
        <w:gridCol w:w="803"/>
        <w:gridCol w:w="659"/>
        <w:gridCol w:w="775"/>
        <w:gridCol w:w="786"/>
        <w:gridCol w:w="609"/>
      </w:tblGrid>
      <w:tr w:rsidR="0065555D" w:rsidRPr="004A1AA7" w14:paraId="3CEA723A" w14:textId="77777777" w:rsidTr="00FB3903">
        <w:trPr>
          <w:trHeight w:val="395"/>
          <w:jc w:val="center"/>
        </w:trPr>
        <w:tc>
          <w:tcPr>
            <w:tcW w:w="0" w:type="auto"/>
            <w:tcBorders>
              <w:top w:val="single" w:sz="4" w:space="0" w:color="auto"/>
              <w:left w:val="nil"/>
              <w:bottom w:val="single" w:sz="4" w:space="0" w:color="auto"/>
              <w:right w:val="nil"/>
            </w:tcBorders>
            <w:shd w:val="clear" w:color="auto" w:fill="auto"/>
            <w:noWrap/>
            <w:vAlign w:val="bottom"/>
            <w:hideMark/>
          </w:tcPr>
          <w:p w14:paraId="24799EDD" w14:textId="77777777" w:rsidR="0065555D" w:rsidRPr="004A1AA7" w:rsidRDefault="0065555D" w:rsidP="00FB3903">
            <w:pPr>
              <w:spacing w:after="0" w:line="240" w:lineRule="auto"/>
              <w:jc w:val="center"/>
              <w:rPr>
                <w:rFonts w:eastAsia="Times New Roman" w:cs="Times New Roman"/>
                <w:color w:val="000000"/>
                <w:sz w:val="20"/>
                <w:szCs w:val="20"/>
              </w:rPr>
            </w:pPr>
            <w:r w:rsidRPr="004A1AA7">
              <w:rPr>
                <w:rFonts w:eastAsia="Times New Roman" w:cs="Times New Roman"/>
                <w:color w:val="000000"/>
                <w:sz w:val="20"/>
                <w:szCs w:val="20"/>
              </w:rPr>
              <w:t>Eventual</w:t>
            </w:r>
          </w:p>
          <w:p w14:paraId="68D03A75" w14:textId="77777777" w:rsidR="0065555D" w:rsidRPr="004A1AA7" w:rsidRDefault="0065555D" w:rsidP="00FB3903">
            <w:pPr>
              <w:spacing w:after="0" w:line="240" w:lineRule="auto"/>
              <w:jc w:val="center"/>
              <w:rPr>
                <w:rFonts w:eastAsia="Times New Roman" w:cs="Times New Roman"/>
                <w:color w:val="000000"/>
                <w:sz w:val="20"/>
                <w:szCs w:val="20"/>
              </w:rPr>
            </w:pPr>
            <w:r w:rsidRPr="004A1AA7">
              <w:rPr>
                <w:rFonts w:eastAsia="Times New Roman" w:cs="Times New Roman"/>
                <w:color w:val="000000"/>
                <w:sz w:val="20"/>
                <w:szCs w:val="20"/>
              </w:rPr>
              <w:t>90+ Day</w:t>
            </w:r>
          </w:p>
          <w:p w14:paraId="175F80DC" w14:textId="77777777" w:rsidR="0065555D" w:rsidRPr="004A1AA7" w:rsidRDefault="0065555D" w:rsidP="00FB3903">
            <w:pPr>
              <w:spacing w:after="0" w:line="240" w:lineRule="auto"/>
              <w:jc w:val="center"/>
              <w:rPr>
                <w:rFonts w:eastAsia="Times New Roman" w:cs="Times New Roman"/>
                <w:color w:val="000000"/>
                <w:sz w:val="20"/>
                <w:szCs w:val="20"/>
              </w:rPr>
            </w:pPr>
            <w:r w:rsidRPr="004A1AA7">
              <w:rPr>
                <w:rFonts w:eastAsia="Times New Roman" w:cs="Times New Roman"/>
                <w:color w:val="000000"/>
                <w:sz w:val="20"/>
                <w:szCs w:val="20"/>
              </w:rPr>
              <w:t>Delinquency</w:t>
            </w:r>
          </w:p>
        </w:tc>
        <w:tc>
          <w:tcPr>
            <w:tcW w:w="0" w:type="auto"/>
            <w:tcBorders>
              <w:top w:val="single" w:sz="4" w:space="0" w:color="auto"/>
              <w:left w:val="nil"/>
              <w:bottom w:val="single" w:sz="4" w:space="0" w:color="auto"/>
              <w:right w:val="nil"/>
            </w:tcBorders>
            <w:shd w:val="clear" w:color="auto" w:fill="auto"/>
            <w:noWrap/>
            <w:vAlign w:val="bottom"/>
            <w:hideMark/>
          </w:tcPr>
          <w:p w14:paraId="45DF300B" w14:textId="77777777" w:rsidR="0065555D" w:rsidRPr="004A1AA7" w:rsidRDefault="0065555D" w:rsidP="00FB3903">
            <w:pPr>
              <w:spacing w:after="0" w:line="240" w:lineRule="auto"/>
              <w:jc w:val="center"/>
              <w:rPr>
                <w:rFonts w:eastAsia="Times New Roman" w:cs="Times New Roman"/>
                <w:color w:val="000000"/>
                <w:sz w:val="20"/>
                <w:szCs w:val="20"/>
              </w:rPr>
            </w:pPr>
            <w:r w:rsidRPr="004A1AA7">
              <w:rPr>
                <w:rFonts w:eastAsia="Times New Roman" w:cs="Times New Roman"/>
                <w:color w:val="000000"/>
                <w:sz w:val="20"/>
                <w:szCs w:val="20"/>
              </w:rPr>
              <w:t>N</w:t>
            </w:r>
          </w:p>
        </w:tc>
        <w:tc>
          <w:tcPr>
            <w:tcW w:w="0" w:type="auto"/>
            <w:tcBorders>
              <w:top w:val="single" w:sz="4" w:space="0" w:color="auto"/>
              <w:left w:val="nil"/>
              <w:bottom w:val="single" w:sz="4" w:space="0" w:color="auto"/>
              <w:right w:val="nil"/>
            </w:tcBorders>
            <w:shd w:val="clear" w:color="auto" w:fill="auto"/>
            <w:noWrap/>
            <w:vAlign w:val="bottom"/>
            <w:hideMark/>
          </w:tcPr>
          <w:p w14:paraId="1E42F1B6" w14:textId="77777777" w:rsidR="0065555D" w:rsidRPr="004A1AA7" w:rsidRDefault="0065555D" w:rsidP="00FB3903">
            <w:pPr>
              <w:spacing w:after="0" w:line="240" w:lineRule="auto"/>
              <w:jc w:val="center"/>
              <w:rPr>
                <w:rFonts w:eastAsia="Times New Roman" w:cs="Times New Roman"/>
                <w:color w:val="000000"/>
                <w:sz w:val="20"/>
                <w:szCs w:val="20"/>
              </w:rPr>
            </w:pPr>
            <w:r w:rsidRPr="004A1AA7">
              <w:rPr>
                <w:rFonts w:eastAsia="Times New Roman" w:cs="Times New Roman"/>
                <w:color w:val="000000"/>
                <w:sz w:val="20"/>
                <w:szCs w:val="20"/>
              </w:rPr>
              <w:t>%</w:t>
            </w:r>
          </w:p>
          <w:p w14:paraId="093F932F" w14:textId="77777777" w:rsidR="0065555D" w:rsidRPr="004A1AA7" w:rsidRDefault="0065555D" w:rsidP="00FB3903">
            <w:pPr>
              <w:spacing w:after="0" w:line="240" w:lineRule="auto"/>
              <w:jc w:val="center"/>
              <w:rPr>
                <w:rFonts w:eastAsia="Times New Roman" w:cs="Times New Roman"/>
                <w:color w:val="000000"/>
                <w:sz w:val="20"/>
                <w:szCs w:val="20"/>
              </w:rPr>
            </w:pPr>
            <w:r w:rsidRPr="004A1AA7">
              <w:rPr>
                <w:rFonts w:eastAsia="Times New Roman" w:cs="Times New Roman"/>
                <w:color w:val="000000"/>
                <w:sz w:val="20"/>
                <w:szCs w:val="20"/>
              </w:rPr>
              <w:t>Sample</w:t>
            </w:r>
          </w:p>
        </w:tc>
        <w:tc>
          <w:tcPr>
            <w:tcW w:w="0" w:type="auto"/>
            <w:tcBorders>
              <w:top w:val="single" w:sz="4" w:space="0" w:color="auto"/>
              <w:left w:val="nil"/>
              <w:bottom w:val="single" w:sz="4" w:space="0" w:color="auto"/>
              <w:right w:val="nil"/>
            </w:tcBorders>
            <w:shd w:val="clear" w:color="auto" w:fill="auto"/>
            <w:vAlign w:val="bottom"/>
            <w:hideMark/>
          </w:tcPr>
          <w:p w14:paraId="66FE3129" w14:textId="77777777" w:rsidR="0065555D" w:rsidRPr="004A1AA7" w:rsidRDefault="0065555D" w:rsidP="00FB3903">
            <w:pPr>
              <w:spacing w:after="0" w:line="240" w:lineRule="auto"/>
              <w:jc w:val="center"/>
              <w:rPr>
                <w:rFonts w:eastAsia="Times New Roman" w:cs="Times New Roman"/>
                <w:color w:val="000000"/>
                <w:sz w:val="20"/>
                <w:szCs w:val="20"/>
              </w:rPr>
            </w:pPr>
            <w:r w:rsidRPr="004A1AA7">
              <w:rPr>
                <w:rFonts w:eastAsia="Times New Roman" w:cs="Times New Roman"/>
                <w:color w:val="000000"/>
                <w:sz w:val="20"/>
                <w:szCs w:val="20"/>
              </w:rPr>
              <w:t>Fraction 90+</w:t>
            </w:r>
            <w:r w:rsidRPr="004A1AA7">
              <w:rPr>
                <w:rFonts w:eastAsia="Times New Roman" w:cs="Times New Roman"/>
                <w:color w:val="000000"/>
                <w:sz w:val="20"/>
                <w:szCs w:val="20"/>
              </w:rPr>
              <w:br/>
              <w:t>Days</w:t>
            </w:r>
            <w:r w:rsidRPr="004A1AA7">
              <w:rPr>
                <w:rFonts w:eastAsia="Times New Roman" w:cs="Times New Roman"/>
                <w:color w:val="000000"/>
                <w:sz w:val="20"/>
                <w:szCs w:val="20"/>
              </w:rPr>
              <w:br/>
              <w:t>Delinquent</w:t>
            </w:r>
          </w:p>
        </w:tc>
        <w:tc>
          <w:tcPr>
            <w:tcW w:w="0" w:type="auto"/>
            <w:tcBorders>
              <w:top w:val="single" w:sz="4" w:space="0" w:color="auto"/>
              <w:left w:val="nil"/>
              <w:bottom w:val="single" w:sz="4" w:space="0" w:color="auto"/>
              <w:right w:val="nil"/>
            </w:tcBorders>
            <w:shd w:val="clear" w:color="auto" w:fill="auto"/>
            <w:noWrap/>
            <w:vAlign w:val="bottom"/>
            <w:hideMark/>
          </w:tcPr>
          <w:p w14:paraId="40B0EFD9" w14:textId="77777777" w:rsidR="0065555D" w:rsidRPr="004A1AA7" w:rsidRDefault="0065555D" w:rsidP="00FB3903">
            <w:pPr>
              <w:spacing w:after="0" w:line="240" w:lineRule="auto"/>
              <w:jc w:val="center"/>
              <w:rPr>
                <w:rFonts w:eastAsia="Times New Roman" w:cs="Times New Roman"/>
                <w:color w:val="000000"/>
                <w:sz w:val="20"/>
                <w:szCs w:val="20"/>
              </w:rPr>
            </w:pPr>
            <w:r w:rsidRPr="004A1AA7">
              <w:rPr>
                <w:rFonts w:eastAsia="Times New Roman" w:cs="Times New Roman"/>
                <w:color w:val="000000"/>
                <w:sz w:val="20"/>
                <w:szCs w:val="20"/>
              </w:rPr>
              <w:t>HHI</w:t>
            </w:r>
          </w:p>
        </w:tc>
        <w:tc>
          <w:tcPr>
            <w:tcW w:w="0" w:type="auto"/>
            <w:tcBorders>
              <w:top w:val="single" w:sz="4" w:space="0" w:color="auto"/>
              <w:left w:val="nil"/>
              <w:bottom w:val="single" w:sz="4" w:space="0" w:color="auto"/>
              <w:right w:val="nil"/>
            </w:tcBorders>
            <w:shd w:val="clear" w:color="auto" w:fill="auto"/>
            <w:vAlign w:val="bottom"/>
            <w:hideMark/>
          </w:tcPr>
          <w:p w14:paraId="5EEE3EA2" w14:textId="77777777" w:rsidR="0065555D" w:rsidRPr="004A1AA7" w:rsidRDefault="0065555D" w:rsidP="00FB3903">
            <w:pPr>
              <w:spacing w:after="0" w:line="240" w:lineRule="auto"/>
              <w:jc w:val="center"/>
              <w:rPr>
                <w:rFonts w:eastAsia="Times New Roman" w:cs="Times New Roman"/>
                <w:color w:val="000000"/>
                <w:sz w:val="20"/>
                <w:szCs w:val="20"/>
              </w:rPr>
            </w:pPr>
            <w:r w:rsidRPr="004A1AA7">
              <w:rPr>
                <w:rFonts w:eastAsia="Times New Roman" w:cs="Times New Roman"/>
                <w:color w:val="000000"/>
                <w:sz w:val="20"/>
                <w:szCs w:val="20"/>
              </w:rPr>
              <w:t>Fraction Top</w:t>
            </w:r>
          </w:p>
          <w:p w14:paraId="74E5AEC8" w14:textId="77777777" w:rsidR="0065555D" w:rsidRPr="004A1AA7" w:rsidRDefault="0065555D" w:rsidP="00FB3903">
            <w:pPr>
              <w:spacing w:after="0" w:line="240" w:lineRule="auto"/>
              <w:jc w:val="center"/>
              <w:rPr>
                <w:rFonts w:eastAsia="Times New Roman" w:cs="Times New Roman"/>
                <w:color w:val="000000"/>
                <w:sz w:val="20"/>
                <w:szCs w:val="20"/>
              </w:rPr>
            </w:pPr>
            <w:r w:rsidRPr="004A1AA7">
              <w:rPr>
                <w:rFonts w:eastAsia="Times New Roman" w:cs="Times New Roman"/>
                <w:color w:val="000000"/>
                <w:sz w:val="20"/>
                <w:szCs w:val="20"/>
              </w:rPr>
              <w:t>Lessee</w:t>
            </w:r>
          </w:p>
          <w:p w14:paraId="2A6F1802" w14:textId="77777777" w:rsidR="0065555D" w:rsidRPr="004A1AA7" w:rsidRDefault="0065555D" w:rsidP="00FB3903">
            <w:pPr>
              <w:spacing w:after="0" w:line="240" w:lineRule="auto"/>
              <w:jc w:val="center"/>
              <w:rPr>
                <w:rFonts w:eastAsia="Times New Roman" w:cs="Times New Roman"/>
                <w:sz w:val="20"/>
                <w:szCs w:val="20"/>
              </w:rPr>
            </w:pPr>
            <w:r w:rsidRPr="004A1AA7">
              <w:rPr>
                <w:rFonts w:eastAsia="Times New Roman" w:cs="Times New Roman"/>
                <w:color w:val="000000"/>
                <w:sz w:val="20"/>
                <w:szCs w:val="20"/>
              </w:rPr>
              <w:t>Rollover</w:t>
            </w:r>
          </w:p>
        </w:tc>
        <w:tc>
          <w:tcPr>
            <w:tcW w:w="0" w:type="auto"/>
            <w:tcBorders>
              <w:top w:val="single" w:sz="4" w:space="0" w:color="auto"/>
              <w:left w:val="nil"/>
              <w:bottom w:val="single" w:sz="4" w:space="0" w:color="auto"/>
              <w:right w:val="nil"/>
            </w:tcBorders>
            <w:shd w:val="clear" w:color="auto" w:fill="auto"/>
            <w:noWrap/>
            <w:vAlign w:val="bottom"/>
            <w:hideMark/>
          </w:tcPr>
          <w:p w14:paraId="02F8C731" w14:textId="77777777" w:rsidR="0065555D" w:rsidRPr="004A1AA7" w:rsidRDefault="0065555D" w:rsidP="00FB3903">
            <w:pPr>
              <w:spacing w:after="0" w:line="240" w:lineRule="auto"/>
              <w:jc w:val="center"/>
              <w:rPr>
                <w:rFonts w:eastAsia="Times New Roman" w:cs="Times New Roman"/>
                <w:color w:val="000000"/>
                <w:sz w:val="20"/>
                <w:szCs w:val="20"/>
              </w:rPr>
            </w:pPr>
            <w:r w:rsidRPr="004A1AA7">
              <w:rPr>
                <w:rFonts w:eastAsia="Times New Roman" w:cs="Times New Roman"/>
                <w:color w:val="000000"/>
                <w:sz w:val="20"/>
                <w:szCs w:val="20"/>
              </w:rPr>
              <w:t>Spread</w:t>
            </w:r>
          </w:p>
          <w:p w14:paraId="1CFE5AB3" w14:textId="77777777" w:rsidR="0065555D" w:rsidRPr="004A1AA7" w:rsidRDefault="0065555D" w:rsidP="00FB3903">
            <w:pPr>
              <w:spacing w:after="0" w:line="240" w:lineRule="auto"/>
              <w:jc w:val="center"/>
              <w:rPr>
                <w:rFonts w:eastAsia="Times New Roman" w:cs="Times New Roman"/>
                <w:color w:val="000000"/>
                <w:sz w:val="20"/>
                <w:szCs w:val="20"/>
              </w:rPr>
            </w:pPr>
            <w:r w:rsidRPr="004A1AA7">
              <w:rPr>
                <w:rFonts w:eastAsia="Times New Roman" w:cs="Times New Roman"/>
                <w:color w:val="000000"/>
                <w:sz w:val="20"/>
                <w:szCs w:val="20"/>
              </w:rPr>
              <w:t>(%)</w:t>
            </w:r>
          </w:p>
        </w:tc>
        <w:tc>
          <w:tcPr>
            <w:tcW w:w="0" w:type="auto"/>
            <w:tcBorders>
              <w:top w:val="single" w:sz="4" w:space="0" w:color="auto"/>
              <w:left w:val="nil"/>
              <w:bottom w:val="single" w:sz="4" w:space="0" w:color="auto"/>
              <w:right w:val="nil"/>
            </w:tcBorders>
            <w:shd w:val="clear" w:color="auto" w:fill="auto"/>
            <w:noWrap/>
            <w:vAlign w:val="bottom"/>
            <w:hideMark/>
          </w:tcPr>
          <w:p w14:paraId="64EA4BD6" w14:textId="77777777" w:rsidR="0065555D" w:rsidRDefault="0065555D" w:rsidP="00FB3903">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Nominal</w:t>
            </w:r>
          </w:p>
          <w:p w14:paraId="0B6C342D" w14:textId="77777777" w:rsidR="0065555D" w:rsidRPr="004A1AA7" w:rsidRDefault="0065555D" w:rsidP="00FB3903">
            <w:pPr>
              <w:spacing w:after="0" w:line="240" w:lineRule="auto"/>
              <w:jc w:val="center"/>
              <w:rPr>
                <w:rFonts w:eastAsia="Times New Roman" w:cs="Times New Roman"/>
                <w:color w:val="000000"/>
                <w:sz w:val="20"/>
                <w:szCs w:val="20"/>
              </w:rPr>
            </w:pPr>
            <w:r w:rsidRPr="004A1AA7">
              <w:rPr>
                <w:rFonts w:eastAsia="Times New Roman" w:cs="Times New Roman"/>
                <w:color w:val="000000"/>
                <w:sz w:val="20"/>
                <w:szCs w:val="20"/>
              </w:rPr>
              <w:t>Property</w:t>
            </w:r>
          </w:p>
          <w:p w14:paraId="511A573F" w14:textId="77777777" w:rsidR="0065555D" w:rsidRPr="004A1AA7" w:rsidRDefault="0065555D" w:rsidP="00FB3903">
            <w:pPr>
              <w:spacing w:after="0" w:line="240" w:lineRule="auto"/>
              <w:jc w:val="center"/>
              <w:rPr>
                <w:rFonts w:eastAsia="Times New Roman" w:cs="Times New Roman"/>
                <w:color w:val="000000"/>
                <w:sz w:val="20"/>
                <w:szCs w:val="20"/>
              </w:rPr>
            </w:pPr>
            <w:r w:rsidRPr="004A1AA7">
              <w:rPr>
                <w:rFonts w:eastAsia="Times New Roman" w:cs="Times New Roman"/>
                <w:color w:val="000000"/>
                <w:sz w:val="20"/>
                <w:szCs w:val="20"/>
              </w:rPr>
              <w:t>Value (mil)</w:t>
            </w:r>
          </w:p>
        </w:tc>
        <w:tc>
          <w:tcPr>
            <w:tcW w:w="0" w:type="auto"/>
            <w:tcBorders>
              <w:top w:val="single" w:sz="4" w:space="0" w:color="auto"/>
              <w:left w:val="nil"/>
              <w:bottom w:val="single" w:sz="4" w:space="0" w:color="auto"/>
              <w:right w:val="nil"/>
            </w:tcBorders>
            <w:vAlign w:val="bottom"/>
          </w:tcPr>
          <w:p w14:paraId="7A91EEDD" w14:textId="77777777" w:rsidR="0065555D" w:rsidRDefault="0065555D" w:rsidP="00FB3903">
            <w:pPr>
              <w:spacing w:after="0" w:line="240" w:lineRule="auto"/>
              <w:jc w:val="center"/>
              <w:rPr>
                <w:rFonts w:eastAsia="Times New Roman" w:cs="Times New Roman"/>
                <w:color w:val="000000"/>
                <w:sz w:val="20"/>
                <w:szCs w:val="20"/>
              </w:rPr>
            </w:pPr>
            <w:r>
              <w:rPr>
                <w:rFonts w:eastAsia="Times New Roman" w:cs="Times New Roman"/>
                <w:color w:val="000000"/>
                <w:sz w:val="20"/>
                <w:szCs w:val="20"/>
              </w:rPr>
              <w:t>Real</w:t>
            </w:r>
          </w:p>
          <w:p w14:paraId="4B859277" w14:textId="77777777" w:rsidR="0065555D" w:rsidRDefault="0065555D" w:rsidP="00FB3903">
            <w:pPr>
              <w:spacing w:after="0" w:line="240" w:lineRule="auto"/>
              <w:jc w:val="center"/>
              <w:rPr>
                <w:rFonts w:eastAsia="Times New Roman" w:cs="Times New Roman"/>
                <w:color w:val="000000"/>
                <w:sz w:val="20"/>
                <w:szCs w:val="20"/>
              </w:rPr>
            </w:pPr>
            <w:r>
              <w:rPr>
                <w:rFonts w:eastAsia="Times New Roman" w:cs="Times New Roman"/>
                <w:color w:val="000000"/>
                <w:sz w:val="20"/>
                <w:szCs w:val="20"/>
              </w:rPr>
              <w:t>Property</w:t>
            </w:r>
          </w:p>
          <w:p w14:paraId="5E50B493" w14:textId="77777777" w:rsidR="0065555D" w:rsidRPr="004A1AA7" w:rsidRDefault="0065555D" w:rsidP="00FB3903">
            <w:pPr>
              <w:spacing w:after="0" w:line="240" w:lineRule="auto"/>
              <w:jc w:val="center"/>
              <w:rPr>
                <w:rFonts w:eastAsia="Times New Roman" w:cs="Times New Roman"/>
                <w:color w:val="000000"/>
                <w:sz w:val="20"/>
                <w:szCs w:val="20"/>
              </w:rPr>
            </w:pPr>
            <w:r>
              <w:rPr>
                <w:rFonts w:eastAsia="Times New Roman" w:cs="Times New Roman"/>
                <w:color w:val="000000"/>
                <w:sz w:val="20"/>
                <w:szCs w:val="20"/>
              </w:rPr>
              <w:t>Value (mil)</w:t>
            </w:r>
          </w:p>
        </w:tc>
        <w:tc>
          <w:tcPr>
            <w:tcW w:w="0" w:type="auto"/>
            <w:tcBorders>
              <w:top w:val="single" w:sz="4" w:space="0" w:color="auto"/>
              <w:left w:val="nil"/>
              <w:bottom w:val="single" w:sz="4" w:space="0" w:color="auto"/>
              <w:right w:val="nil"/>
            </w:tcBorders>
            <w:shd w:val="clear" w:color="auto" w:fill="auto"/>
            <w:noWrap/>
            <w:vAlign w:val="bottom"/>
            <w:hideMark/>
          </w:tcPr>
          <w:p w14:paraId="592C40F8" w14:textId="77777777" w:rsidR="0065555D" w:rsidRDefault="0065555D" w:rsidP="00FB3903">
            <w:pPr>
              <w:spacing w:after="0" w:line="240" w:lineRule="auto"/>
              <w:jc w:val="center"/>
              <w:rPr>
                <w:rFonts w:eastAsia="Times New Roman" w:cs="Times New Roman"/>
                <w:color w:val="000000"/>
                <w:sz w:val="20"/>
                <w:szCs w:val="20"/>
              </w:rPr>
            </w:pPr>
            <w:r>
              <w:rPr>
                <w:rFonts w:eastAsia="Times New Roman" w:cs="Times New Roman"/>
                <w:color w:val="000000"/>
                <w:sz w:val="20"/>
                <w:szCs w:val="20"/>
              </w:rPr>
              <w:t>LTV</w:t>
            </w:r>
          </w:p>
          <w:p w14:paraId="11C55492" w14:textId="77777777" w:rsidR="0065555D" w:rsidRPr="004A1AA7" w:rsidRDefault="0065555D" w:rsidP="00FB3903">
            <w:pPr>
              <w:spacing w:after="0" w:line="240" w:lineRule="auto"/>
              <w:jc w:val="center"/>
              <w:rPr>
                <w:rFonts w:eastAsia="Times New Roman" w:cs="Times New Roman"/>
                <w:color w:val="000000"/>
                <w:sz w:val="20"/>
                <w:szCs w:val="20"/>
              </w:rPr>
            </w:pPr>
            <w:r w:rsidRPr="004A1AA7">
              <w:rPr>
                <w:rFonts w:eastAsia="Times New Roman" w:cs="Times New Roman"/>
                <w:color w:val="000000"/>
                <w:sz w:val="20"/>
                <w:szCs w:val="20"/>
              </w:rPr>
              <w:t>(%)</w:t>
            </w:r>
          </w:p>
        </w:tc>
        <w:tc>
          <w:tcPr>
            <w:tcW w:w="0" w:type="auto"/>
            <w:tcBorders>
              <w:top w:val="single" w:sz="4" w:space="0" w:color="auto"/>
              <w:left w:val="nil"/>
              <w:bottom w:val="single" w:sz="4" w:space="0" w:color="auto"/>
              <w:right w:val="nil"/>
            </w:tcBorders>
            <w:shd w:val="clear" w:color="auto" w:fill="auto"/>
            <w:noWrap/>
            <w:vAlign w:val="bottom"/>
            <w:hideMark/>
          </w:tcPr>
          <w:p w14:paraId="5A4A1CC9" w14:textId="77777777" w:rsidR="0065555D" w:rsidRPr="004A1AA7" w:rsidRDefault="0065555D" w:rsidP="00FB3903">
            <w:pPr>
              <w:spacing w:after="0" w:line="240" w:lineRule="auto"/>
              <w:jc w:val="center"/>
              <w:rPr>
                <w:rFonts w:eastAsia="Times New Roman" w:cs="Times New Roman"/>
                <w:color w:val="000000"/>
                <w:sz w:val="20"/>
                <w:szCs w:val="20"/>
              </w:rPr>
            </w:pPr>
            <w:r w:rsidRPr="004A1AA7">
              <w:rPr>
                <w:rFonts w:eastAsia="Times New Roman" w:cs="Times New Roman"/>
                <w:color w:val="000000"/>
                <w:sz w:val="20"/>
                <w:szCs w:val="20"/>
              </w:rPr>
              <w:t>NOI/</w:t>
            </w:r>
          </w:p>
          <w:p w14:paraId="683F2A40" w14:textId="77777777" w:rsidR="0065555D" w:rsidRPr="004A1AA7" w:rsidRDefault="0065555D" w:rsidP="00FB3903">
            <w:pPr>
              <w:spacing w:after="0" w:line="240" w:lineRule="auto"/>
              <w:jc w:val="center"/>
              <w:rPr>
                <w:rFonts w:eastAsia="Times New Roman" w:cs="Times New Roman"/>
                <w:color w:val="000000"/>
                <w:sz w:val="20"/>
                <w:szCs w:val="20"/>
              </w:rPr>
            </w:pPr>
            <w:r w:rsidRPr="004A1AA7">
              <w:rPr>
                <w:rFonts w:eastAsia="Times New Roman" w:cs="Times New Roman"/>
                <w:color w:val="000000"/>
                <w:sz w:val="20"/>
                <w:szCs w:val="20"/>
              </w:rPr>
              <w:t>Property</w:t>
            </w:r>
          </w:p>
          <w:p w14:paraId="5A44D448" w14:textId="77777777" w:rsidR="0065555D" w:rsidRPr="004A1AA7" w:rsidRDefault="0065555D" w:rsidP="00FB3903">
            <w:pPr>
              <w:spacing w:after="0" w:line="240" w:lineRule="auto"/>
              <w:jc w:val="center"/>
              <w:rPr>
                <w:rFonts w:eastAsia="Times New Roman" w:cs="Times New Roman"/>
                <w:color w:val="000000"/>
                <w:sz w:val="20"/>
                <w:szCs w:val="20"/>
              </w:rPr>
            </w:pPr>
            <w:r w:rsidRPr="004A1AA7">
              <w:rPr>
                <w:rFonts w:eastAsia="Times New Roman" w:cs="Times New Roman"/>
                <w:color w:val="000000"/>
                <w:sz w:val="20"/>
                <w:szCs w:val="20"/>
              </w:rPr>
              <w:t>Value</w:t>
            </w:r>
          </w:p>
        </w:tc>
        <w:tc>
          <w:tcPr>
            <w:tcW w:w="0" w:type="auto"/>
            <w:tcBorders>
              <w:top w:val="single" w:sz="4" w:space="0" w:color="auto"/>
              <w:left w:val="nil"/>
              <w:bottom w:val="single" w:sz="4" w:space="0" w:color="auto"/>
              <w:right w:val="nil"/>
            </w:tcBorders>
            <w:shd w:val="clear" w:color="auto" w:fill="auto"/>
            <w:noWrap/>
            <w:vAlign w:val="bottom"/>
            <w:hideMark/>
          </w:tcPr>
          <w:p w14:paraId="1D90B1BD" w14:textId="77777777" w:rsidR="0065555D" w:rsidRPr="004A1AA7" w:rsidRDefault="0065555D" w:rsidP="00FB3903">
            <w:pPr>
              <w:spacing w:after="0" w:line="240" w:lineRule="auto"/>
              <w:jc w:val="center"/>
              <w:rPr>
                <w:rFonts w:eastAsia="Times New Roman" w:cs="Times New Roman"/>
                <w:color w:val="000000"/>
                <w:sz w:val="20"/>
                <w:szCs w:val="20"/>
              </w:rPr>
            </w:pPr>
            <w:r w:rsidRPr="004A1AA7">
              <w:rPr>
                <w:rFonts w:eastAsia="Times New Roman" w:cs="Times New Roman"/>
                <w:color w:val="000000"/>
                <w:sz w:val="20"/>
                <w:szCs w:val="20"/>
              </w:rPr>
              <w:t>Occ.</w:t>
            </w:r>
          </w:p>
          <w:p w14:paraId="52FF627F" w14:textId="77777777" w:rsidR="0065555D" w:rsidRPr="004A1AA7" w:rsidRDefault="0065555D" w:rsidP="00FB3903">
            <w:pPr>
              <w:spacing w:after="0" w:line="240" w:lineRule="auto"/>
              <w:jc w:val="center"/>
              <w:rPr>
                <w:rFonts w:eastAsia="Times New Roman" w:cs="Times New Roman"/>
                <w:sz w:val="20"/>
                <w:szCs w:val="20"/>
              </w:rPr>
            </w:pPr>
            <w:r w:rsidRPr="004A1AA7">
              <w:rPr>
                <w:rFonts w:eastAsia="Times New Roman" w:cs="Times New Roman"/>
                <w:color w:val="000000"/>
                <w:sz w:val="20"/>
                <w:szCs w:val="20"/>
              </w:rPr>
              <w:t>Rate (%)</w:t>
            </w:r>
          </w:p>
        </w:tc>
        <w:tc>
          <w:tcPr>
            <w:tcW w:w="0" w:type="auto"/>
            <w:tcBorders>
              <w:top w:val="single" w:sz="4" w:space="0" w:color="auto"/>
              <w:left w:val="nil"/>
              <w:bottom w:val="single" w:sz="4" w:space="0" w:color="auto"/>
              <w:right w:val="nil"/>
            </w:tcBorders>
            <w:shd w:val="clear" w:color="auto" w:fill="auto"/>
            <w:noWrap/>
            <w:vAlign w:val="bottom"/>
            <w:hideMark/>
          </w:tcPr>
          <w:p w14:paraId="2A727CE0" w14:textId="77777777" w:rsidR="0065555D" w:rsidRPr="004A1AA7" w:rsidRDefault="0065555D" w:rsidP="00FB3903">
            <w:pPr>
              <w:spacing w:after="0" w:line="240" w:lineRule="auto"/>
              <w:jc w:val="center"/>
              <w:rPr>
                <w:rFonts w:eastAsia="Times New Roman" w:cs="Times New Roman"/>
                <w:color w:val="000000"/>
                <w:sz w:val="20"/>
                <w:szCs w:val="20"/>
              </w:rPr>
            </w:pPr>
            <w:proofErr w:type="spellStart"/>
            <w:r w:rsidRPr="004A1AA7">
              <w:rPr>
                <w:rFonts w:eastAsia="Times New Roman" w:cs="Times New Roman"/>
                <w:color w:val="000000"/>
                <w:sz w:val="20"/>
                <w:szCs w:val="20"/>
              </w:rPr>
              <w:t>Amort</w:t>
            </w:r>
            <w:proofErr w:type="spellEnd"/>
            <w:r w:rsidRPr="004A1AA7">
              <w:rPr>
                <w:rFonts w:eastAsia="Times New Roman" w:cs="Times New Roman"/>
                <w:color w:val="000000"/>
                <w:sz w:val="20"/>
                <w:szCs w:val="20"/>
              </w:rPr>
              <w:t>.</w:t>
            </w:r>
          </w:p>
          <w:p w14:paraId="052D75F2" w14:textId="77777777" w:rsidR="0065555D" w:rsidRPr="004A1AA7" w:rsidRDefault="0065555D" w:rsidP="00FB3903">
            <w:pPr>
              <w:spacing w:after="0" w:line="240" w:lineRule="auto"/>
              <w:jc w:val="center"/>
              <w:rPr>
                <w:rFonts w:eastAsia="Times New Roman" w:cs="Times New Roman"/>
                <w:sz w:val="20"/>
                <w:szCs w:val="20"/>
              </w:rPr>
            </w:pPr>
            <w:r w:rsidRPr="004A1AA7">
              <w:rPr>
                <w:rFonts w:eastAsia="Times New Roman" w:cs="Times New Roman"/>
                <w:color w:val="000000"/>
                <w:sz w:val="20"/>
                <w:szCs w:val="20"/>
              </w:rPr>
              <w:t>Rate</w:t>
            </w:r>
          </w:p>
        </w:tc>
        <w:tc>
          <w:tcPr>
            <w:tcW w:w="0" w:type="auto"/>
            <w:tcBorders>
              <w:top w:val="single" w:sz="4" w:space="0" w:color="auto"/>
              <w:left w:val="nil"/>
              <w:bottom w:val="single" w:sz="4" w:space="0" w:color="auto"/>
              <w:right w:val="nil"/>
            </w:tcBorders>
            <w:shd w:val="clear" w:color="auto" w:fill="auto"/>
            <w:noWrap/>
            <w:vAlign w:val="bottom"/>
            <w:hideMark/>
          </w:tcPr>
          <w:p w14:paraId="3C126CDA" w14:textId="77777777" w:rsidR="0065555D" w:rsidRPr="004A1AA7" w:rsidRDefault="0065555D" w:rsidP="00FB3903">
            <w:pPr>
              <w:spacing w:after="0" w:line="240" w:lineRule="auto"/>
              <w:jc w:val="center"/>
              <w:rPr>
                <w:rFonts w:eastAsia="Times New Roman" w:cs="Times New Roman"/>
                <w:color w:val="000000"/>
                <w:sz w:val="20"/>
                <w:szCs w:val="20"/>
              </w:rPr>
            </w:pPr>
            <w:r w:rsidRPr="004A1AA7">
              <w:rPr>
                <w:rFonts w:eastAsia="Times New Roman" w:cs="Times New Roman"/>
                <w:color w:val="000000"/>
                <w:sz w:val="20"/>
                <w:szCs w:val="20"/>
              </w:rPr>
              <w:t>Property</w:t>
            </w:r>
          </w:p>
          <w:p w14:paraId="29E6B9EB" w14:textId="77777777" w:rsidR="0065555D" w:rsidRPr="004A1AA7" w:rsidRDefault="0065555D" w:rsidP="00FB3903">
            <w:pPr>
              <w:spacing w:after="0" w:line="240" w:lineRule="auto"/>
              <w:jc w:val="center"/>
              <w:rPr>
                <w:rFonts w:eastAsia="Times New Roman" w:cs="Times New Roman"/>
                <w:color w:val="000000"/>
                <w:sz w:val="20"/>
                <w:szCs w:val="20"/>
              </w:rPr>
            </w:pPr>
            <w:r w:rsidRPr="004A1AA7">
              <w:rPr>
                <w:rFonts w:eastAsia="Times New Roman" w:cs="Times New Roman"/>
                <w:color w:val="000000"/>
                <w:sz w:val="20"/>
                <w:szCs w:val="20"/>
              </w:rPr>
              <w:t>Age</w:t>
            </w:r>
          </w:p>
        </w:tc>
        <w:tc>
          <w:tcPr>
            <w:tcW w:w="0" w:type="auto"/>
            <w:tcBorders>
              <w:top w:val="single" w:sz="4" w:space="0" w:color="auto"/>
              <w:left w:val="nil"/>
              <w:bottom w:val="single" w:sz="4" w:space="0" w:color="auto"/>
              <w:right w:val="nil"/>
            </w:tcBorders>
            <w:shd w:val="clear" w:color="auto" w:fill="auto"/>
            <w:noWrap/>
            <w:vAlign w:val="bottom"/>
            <w:hideMark/>
          </w:tcPr>
          <w:p w14:paraId="1377343B" w14:textId="77777777" w:rsidR="0065555D" w:rsidRPr="004A1AA7" w:rsidRDefault="0065555D" w:rsidP="00FB3903">
            <w:pPr>
              <w:spacing w:after="0" w:line="240" w:lineRule="auto"/>
              <w:jc w:val="center"/>
              <w:rPr>
                <w:rFonts w:eastAsia="Times New Roman" w:cs="Times New Roman"/>
                <w:color w:val="000000"/>
                <w:sz w:val="20"/>
                <w:szCs w:val="20"/>
              </w:rPr>
            </w:pPr>
            <w:r w:rsidRPr="004A1AA7">
              <w:rPr>
                <w:rFonts w:eastAsia="Times New Roman" w:cs="Times New Roman"/>
                <w:color w:val="000000"/>
                <w:sz w:val="20"/>
                <w:szCs w:val="20"/>
              </w:rPr>
              <w:t>Years to</w:t>
            </w:r>
          </w:p>
          <w:p w14:paraId="5F1B7653" w14:textId="77777777" w:rsidR="0065555D" w:rsidRPr="004A1AA7" w:rsidRDefault="0065555D" w:rsidP="00FB3903">
            <w:pPr>
              <w:spacing w:after="0" w:line="240" w:lineRule="auto"/>
              <w:jc w:val="center"/>
              <w:rPr>
                <w:rFonts w:eastAsia="Times New Roman" w:cs="Times New Roman"/>
                <w:color w:val="000000"/>
                <w:sz w:val="20"/>
                <w:szCs w:val="20"/>
              </w:rPr>
            </w:pPr>
            <w:r w:rsidRPr="004A1AA7">
              <w:rPr>
                <w:rFonts w:eastAsia="Times New Roman" w:cs="Times New Roman"/>
                <w:color w:val="000000"/>
                <w:sz w:val="20"/>
                <w:szCs w:val="20"/>
              </w:rPr>
              <w:t>Loan</w:t>
            </w:r>
          </w:p>
          <w:p w14:paraId="3B974584" w14:textId="77777777" w:rsidR="0065555D" w:rsidRPr="004A1AA7" w:rsidRDefault="0065555D" w:rsidP="00FB3903">
            <w:pPr>
              <w:spacing w:after="0" w:line="240" w:lineRule="auto"/>
              <w:jc w:val="center"/>
              <w:rPr>
                <w:rFonts w:eastAsia="Times New Roman" w:cs="Times New Roman"/>
                <w:color w:val="000000"/>
                <w:sz w:val="20"/>
                <w:szCs w:val="20"/>
              </w:rPr>
            </w:pPr>
            <w:r w:rsidRPr="004A1AA7">
              <w:rPr>
                <w:rFonts w:eastAsia="Times New Roman" w:cs="Times New Roman"/>
                <w:color w:val="000000"/>
                <w:sz w:val="20"/>
                <w:szCs w:val="20"/>
              </w:rPr>
              <w:t>Maturity</w:t>
            </w:r>
          </w:p>
        </w:tc>
        <w:tc>
          <w:tcPr>
            <w:tcW w:w="0" w:type="auto"/>
            <w:tcBorders>
              <w:top w:val="single" w:sz="4" w:space="0" w:color="auto"/>
              <w:left w:val="nil"/>
              <w:bottom w:val="single" w:sz="4" w:space="0" w:color="auto"/>
              <w:right w:val="nil"/>
            </w:tcBorders>
            <w:shd w:val="clear" w:color="auto" w:fill="auto"/>
            <w:noWrap/>
            <w:vAlign w:val="bottom"/>
            <w:hideMark/>
          </w:tcPr>
          <w:p w14:paraId="355299FE" w14:textId="77777777" w:rsidR="0065555D" w:rsidRPr="004A1AA7" w:rsidRDefault="0065555D" w:rsidP="00FB3903">
            <w:pPr>
              <w:spacing w:after="0" w:line="240" w:lineRule="auto"/>
              <w:jc w:val="center"/>
              <w:rPr>
                <w:rFonts w:eastAsia="Times New Roman" w:cs="Times New Roman"/>
                <w:color w:val="000000"/>
                <w:sz w:val="20"/>
                <w:szCs w:val="20"/>
              </w:rPr>
            </w:pPr>
            <w:r w:rsidRPr="004A1AA7">
              <w:rPr>
                <w:rFonts w:eastAsia="Times New Roman" w:cs="Times New Roman"/>
                <w:color w:val="000000"/>
                <w:sz w:val="20"/>
                <w:szCs w:val="20"/>
              </w:rPr>
              <w:t>DSCR</w:t>
            </w:r>
          </w:p>
        </w:tc>
      </w:tr>
      <w:tr w:rsidR="0065555D" w:rsidRPr="004A1AA7" w14:paraId="316EA50F" w14:textId="77777777" w:rsidTr="00FB3903">
        <w:trPr>
          <w:trHeight w:val="264"/>
          <w:jc w:val="center"/>
        </w:trPr>
        <w:tc>
          <w:tcPr>
            <w:tcW w:w="0" w:type="auto"/>
            <w:tcBorders>
              <w:top w:val="nil"/>
              <w:left w:val="nil"/>
              <w:bottom w:val="nil"/>
              <w:right w:val="nil"/>
            </w:tcBorders>
            <w:shd w:val="clear" w:color="auto" w:fill="auto"/>
            <w:noWrap/>
            <w:vAlign w:val="bottom"/>
            <w:hideMark/>
          </w:tcPr>
          <w:p w14:paraId="092CE374" w14:textId="77777777" w:rsidR="0065555D" w:rsidRPr="004A1AA7" w:rsidRDefault="0065555D" w:rsidP="00FB3903">
            <w:pPr>
              <w:spacing w:after="0" w:line="240" w:lineRule="auto"/>
              <w:jc w:val="center"/>
              <w:rPr>
                <w:rFonts w:eastAsia="Times New Roman" w:cs="Times New Roman"/>
                <w:color w:val="000000"/>
                <w:sz w:val="20"/>
                <w:szCs w:val="20"/>
              </w:rPr>
            </w:pPr>
            <w:r w:rsidRPr="004A1AA7">
              <w:rPr>
                <w:rFonts w:eastAsia="Times New Roman" w:cs="Times New Roman"/>
                <w:color w:val="000000"/>
                <w:sz w:val="20"/>
                <w:szCs w:val="20"/>
              </w:rPr>
              <w:t>0</w:t>
            </w:r>
          </w:p>
        </w:tc>
        <w:tc>
          <w:tcPr>
            <w:tcW w:w="0" w:type="auto"/>
            <w:tcBorders>
              <w:top w:val="nil"/>
              <w:left w:val="nil"/>
              <w:bottom w:val="nil"/>
              <w:right w:val="nil"/>
            </w:tcBorders>
            <w:shd w:val="clear" w:color="auto" w:fill="auto"/>
            <w:noWrap/>
            <w:vAlign w:val="bottom"/>
            <w:hideMark/>
          </w:tcPr>
          <w:p w14:paraId="1A1E9E74" w14:textId="77777777" w:rsidR="0065555D" w:rsidRDefault="0065555D" w:rsidP="00FB3903">
            <w:pPr>
              <w:spacing w:line="240" w:lineRule="auto"/>
              <w:jc w:val="center"/>
              <w:rPr>
                <w:sz w:val="20"/>
                <w:szCs w:val="20"/>
              </w:rPr>
            </w:pPr>
            <w:r>
              <w:rPr>
                <w:sz w:val="20"/>
                <w:szCs w:val="20"/>
              </w:rPr>
              <w:t>14,003</w:t>
            </w:r>
          </w:p>
        </w:tc>
        <w:tc>
          <w:tcPr>
            <w:tcW w:w="0" w:type="auto"/>
            <w:tcBorders>
              <w:top w:val="nil"/>
              <w:left w:val="nil"/>
              <w:bottom w:val="nil"/>
              <w:right w:val="nil"/>
            </w:tcBorders>
            <w:shd w:val="clear" w:color="auto" w:fill="auto"/>
            <w:noWrap/>
            <w:vAlign w:val="bottom"/>
            <w:hideMark/>
          </w:tcPr>
          <w:p w14:paraId="23B17C4B" w14:textId="77777777" w:rsidR="0065555D" w:rsidRDefault="0065555D" w:rsidP="00FB3903">
            <w:pPr>
              <w:spacing w:line="240" w:lineRule="auto"/>
              <w:jc w:val="center"/>
              <w:rPr>
                <w:sz w:val="20"/>
                <w:szCs w:val="20"/>
              </w:rPr>
            </w:pPr>
            <w:r>
              <w:rPr>
                <w:sz w:val="20"/>
                <w:szCs w:val="20"/>
              </w:rPr>
              <w:t>88.53</w:t>
            </w:r>
          </w:p>
        </w:tc>
        <w:tc>
          <w:tcPr>
            <w:tcW w:w="0" w:type="auto"/>
            <w:tcBorders>
              <w:top w:val="nil"/>
              <w:left w:val="nil"/>
              <w:bottom w:val="nil"/>
              <w:right w:val="nil"/>
            </w:tcBorders>
            <w:shd w:val="clear" w:color="auto" w:fill="auto"/>
            <w:noWrap/>
            <w:vAlign w:val="bottom"/>
            <w:hideMark/>
          </w:tcPr>
          <w:p w14:paraId="6AFA0CE7" w14:textId="77777777" w:rsidR="0065555D" w:rsidRDefault="0065555D" w:rsidP="00FB3903">
            <w:pPr>
              <w:spacing w:line="240" w:lineRule="auto"/>
              <w:jc w:val="center"/>
              <w:rPr>
                <w:sz w:val="20"/>
                <w:szCs w:val="20"/>
              </w:rPr>
            </w:pPr>
            <w:r>
              <w:rPr>
                <w:sz w:val="20"/>
                <w:szCs w:val="20"/>
              </w:rPr>
              <w:t>0.00</w:t>
            </w:r>
          </w:p>
        </w:tc>
        <w:tc>
          <w:tcPr>
            <w:tcW w:w="0" w:type="auto"/>
            <w:tcBorders>
              <w:top w:val="nil"/>
              <w:left w:val="nil"/>
              <w:bottom w:val="nil"/>
              <w:right w:val="nil"/>
            </w:tcBorders>
            <w:shd w:val="clear" w:color="auto" w:fill="auto"/>
            <w:noWrap/>
            <w:vAlign w:val="bottom"/>
            <w:hideMark/>
          </w:tcPr>
          <w:p w14:paraId="15CDFAF3" w14:textId="77777777" w:rsidR="0065555D" w:rsidRDefault="0065555D" w:rsidP="00FB3903">
            <w:pPr>
              <w:spacing w:line="240" w:lineRule="auto"/>
              <w:jc w:val="center"/>
              <w:rPr>
                <w:sz w:val="20"/>
                <w:szCs w:val="20"/>
              </w:rPr>
            </w:pPr>
            <w:r>
              <w:rPr>
                <w:sz w:val="20"/>
                <w:szCs w:val="20"/>
              </w:rPr>
              <w:t>37.23</w:t>
            </w:r>
          </w:p>
        </w:tc>
        <w:tc>
          <w:tcPr>
            <w:tcW w:w="0" w:type="auto"/>
            <w:tcBorders>
              <w:top w:val="nil"/>
              <w:left w:val="nil"/>
              <w:bottom w:val="nil"/>
              <w:right w:val="nil"/>
            </w:tcBorders>
            <w:shd w:val="clear" w:color="auto" w:fill="auto"/>
            <w:noWrap/>
            <w:vAlign w:val="bottom"/>
            <w:hideMark/>
          </w:tcPr>
          <w:p w14:paraId="1A20E7AA" w14:textId="77777777" w:rsidR="0065555D" w:rsidRDefault="0065555D" w:rsidP="00FB3903">
            <w:pPr>
              <w:spacing w:line="240" w:lineRule="auto"/>
              <w:jc w:val="center"/>
              <w:rPr>
                <w:sz w:val="20"/>
                <w:szCs w:val="20"/>
              </w:rPr>
            </w:pPr>
            <w:r>
              <w:rPr>
                <w:sz w:val="20"/>
                <w:szCs w:val="20"/>
              </w:rPr>
              <w:t>0.58</w:t>
            </w:r>
          </w:p>
        </w:tc>
        <w:tc>
          <w:tcPr>
            <w:tcW w:w="0" w:type="auto"/>
            <w:tcBorders>
              <w:top w:val="nil"/>
              <w:left w:val="nil"/>
              <w:bottom w:val="nil"/>
              <w:right w:val="nil"/>
            </w:tcBorders>
            <w:shd w:val="clear" w:color="auto" w:fill="auto"/>
            <w:noWrap/>
            <w:vAlign w:val="bottom"/>
            <w:hideMark/>
          </w:tcPr>
          <w:p w14:paraId="7B641EC0" w14:textId="77777777" w:rsidR="0065555D" w:rsidRDefault="0065555D" w:rsidP="00FB3903">
            <w:pPr>
              <w:spacing w:line="240" w:lineRule="auto"/>
              <w:jc w:val="center"/>
              <w:rPr>
                <w:sz w:val="20"/>
                <w:szCs w:val="20"/>
              </w:rPr>
            </w:pPr>
            <w:r>
              <w:rPr>
                <w:sz w:val="20"/>
                <w:szCs w:val="20"/>
              </w:rPr>
              <w:t>1.4469</w:t>
            </w:r>
          </w:p>
        </w:tc>
        <w:tc>
          <w:tcPr>
            <w:tcW w:w="0" w:type="auto"/>
            <w:tcBorders>
              <w:top w:val="nil"/>
              <w:left w:val="nil"/>
              <w:bottom w:val="nil"/>
              <w:right w:val="nil"/>
            </w:tcBorders>
            <w:shd w:val="clear" w:color="auto" w:fill="auto"/>
            <w:noWrap/>
            <w:vAlign w:val="bottom"/>
            <w:hideMark/>
          </w:tcPr>
          <w:p w14:paraId="4AFC9C38" w14:textId="77777777" w:rsidR="0065555D" w:rsidRDefault="0065555D" w:rsidP="00FB3903">
            <w:pPr>
              <w:spacing w:line="240" w:lineRule="auto"/>
              <w:jc w:val="center"/>
              <w:rPr>
                <w:sz w:val="20"/>
                <w:szCs w:val="20"/>
              </w:rPr>
            </w:pPr>
            <w:r>
              <w:rPr>
                <w:sz w:val="20"/>
                <w:szCs w:val="20"/>
              </w:rPr>
              <w:t>15.59</w:t>
            </w:r>
          </w:p>
        </w:tc>
        <w:tc>
          <w:tcPr>
            <w:tcW w:w="0" w:type="auto"/>
            <w:tcBorders>
              <w:top w:val="nil"/>
              <w:left w:val="nil"/>
              <w:bottom w:val="nil"/>
              <w:right w:val="nil"/>
            </w:tcBorders>
            <w:vAlign w:val="bottom"/>
          </w:tcPr>
          <w:p w14:paraId="5801DC8B" w14:textId="77777777" w:rsidR="0065555D" w:rsidRDefault="0065555D" w:rsidP="00FB3903">
            <w:pPr>
              <w:spacing w:line="240" w:lineRule="auto"/>
              <w:jc w:val="center"/>
              <w:rPr>
                <w:sz w:val="20"/>
                <w:szCs w:val="20"/>
              </w:rPr>
            </w:pPr>
            <w:r>
              <w:rPr>
                <w:sz w:val="20"/>
                <w:szCs w:val="20"/>
              </w:rPr>
              <w:t>8.10</w:t>
            </w:r>
          </w:p>
        </w:tc>
        <w:tc>
          <w:tcPr>
            <w:tcW w:w="0" w:type="auto"/>
            <w:tcBorders>
              <w:top w:val="nil"/>
              <w:left w:val="nil"/>
              <w:bottom w:val="nil"/>
              <w:right w:val="nil"/>
            </w:tcBorders>
            <w:shd w:val="clear" w:color="auto" w:fill="auto"/>
            <w:noWrap/>
            <w:vAlign w:val="bottom"/>
            <w:hideMark/>
          </w:tcPr>
          <w:p w14:paraId="5A76B648" w14:textId="77777777" w:rsidR="0065555D" w:rsidRDefault="0065555D" w:rsidP="00FB3903">
            <w:pPr>
              <w:spacing w:line="240" w:lineRule="auto"/>
              <w:jc w:val="center"/>
              <w:rPr>
                <w:sz w:val="20"/>
                <w:szCs w:val="20"/>
              </w:rPr>
            </w:pPr>
            <w:r>
              <w:rPr>
                <w:sz w:val="20"/>
                <w:szCs w:val="20"/>
              </w:rPr>
              <w:t>68.61</w:t>
            </w:r>
          </w:p>
        </w:tc>
        <w:tc>
          <w:tcPr>
            <w:tcW w:w="0" w:type="auto"/>
            <w:tcBorders>
              <w:top w:val="nil"/>
              <w:left w:val="nil"/>
              <w:bottom w:val="nil"/>
              <w:right w:val="nil"/>
            </w:tcBorders>
            <w:shd w:val="clear" w:color="auto" w:fill="auto"/>
            <w:noWrap/>
            <w:vAlign w:val="bottom"/>
            <w:hideMark/>
          </w:tcPr>
          <w:p w14:paraId="173BD6AE" w14:textId="77777777" w:rsidR="0065555D" w:rsidRDefault="0065555D" w:rsidP="00FB3903">
            <w:pPr>
              <w:spacing w:line="240" w:lineRule="auto"/>
              <w:jc w:val="center"/>
              <w:rPr>
                <w:sz w:val="20"/>
                <w:szCs w:val="20"/>
              </w:rPr>
            </w:pPr>
            <w:r>
              <w:rPr>
                <w:sz w:val="20"/>
                <w:szCs w:val="20"/>
              </w:rPr>
              <w:t>0.0740</w:t>
            </w:r>
          </w:p>
        </w:tc>
        <w:tc>
          <w:tcPr>
            <w:tcW w:w="0" w:type="auto"/>
            <w:tcBorders>
              <w:top w:val="nil"/>
              <w:left w:val="nil"/>
              <w:bottom w:val="nil"/>
              <w:right w:val="nil"/>
            </w:tcBorders>
            <w:shd w:val="clear" w:color="auto" w:fill="auto"/>
            <w:noWrap/>
            <w:vAlign w:val="bottom"/>
            <w:hideMark/>
          </w:tcPr>
          <w:p w14:paraId="6DA7819D" w14:textId="77777777" w:rsidR="0065555D" w:rsidRDefault="0065555D" w:rsidP="00FB3903">
            <w:pPr>
              <w:spacing w:line="240" w:lineRule="auto"/>
              <w:jc w:val="center"/>
              <w:rPr>
                <w:sz w:val="20"/>
                <w:szCs w:val="20"/>
              </w:rPr>
            </w:pPr>
            <w:r>
              <w:rPr>
                <w:sz w:val="20"/>
                <w:szCs w:val="20"/>
              </w:rPr>
              <w:t>96.78</w:t>
            </w:r>
          </w:p>
        </w:tc>
        <w:tc>
          <w:tcPr>
            <w:tcW w:w="0" w:type="auto"/>
            <w:tcBorders>
              <w:top w:val="nil"/>
              <w:left w:val="nil"/>
              <w:bottom w:val="nil"/>
              <w:right w:val="nil"/>
            </w:tcBorders>
            <w:shd w:val="clear" w:color="auto" w:fill="auto"/>
            <w:noWrap/>
            <w:vAlign w:val="bottom"/>
            <w:hideMark/>
          </w:tcPr>
          <w:p w14:paraId="4E244AE9" w14:textId="77777777" w:rsidR="0065555D" w:rsidRDefault="0065555D" w:rsidP="00FB3903">
            <w:pPr>
              <w:spacing w:line="240" w:lineRule="auto"/>
              <w:jc w:val="center"/>
              <w:rPr>
                <w:sz w:val="20"/>
                <w:szCs w:val="20"/>
              </w:rPr>
            </w:pPr>
            <w:r>
              <w:rPr>
                <w:sz w:val="20"/>
                <w:szCs w:val="20"/>
              </w:rPr>
              <w:t>0.1591</w:t>
            </w:r>
          </w:p>
        </w:tc>
        <w:tc>
          <w:tcPr>
            <w:tcW w:w="0" w:type="auto"/>
            <w:tcBorders>
              <w:top w:val="nil"/>
              <w:left w:val="nil"/>
              <w:bottom w:val="nil"/>
              <w:right w:val="nil"/>
            </w:tcBorders>
            <w:shd w:val="clear" w:color="auto" w:fill="auto"/>
            <w:noWrap/>
            <w:vAlign w:val="bottom"/>
            <w:hideMark/>
          </w:tcPr>
          <w:p w14:paraId="615AB59E" w14:textId="77777777" w:rsidR="0065555D" w:rsidRDefault="0065555D" w:rsidP="00FB3903">
            <w:pPr>
              <w:spacing w:line="240" w:lineRule="auto"/>
              <w:jc w:val="center"/>
              <w:rPr>
                <w:sz w:val="20"/>
                <w:szCs w:val="20"/>
              </w:rPr>
            </w:pPr>
            <w:r>
              <w:rPr>
                <w:sz w:val="20"/>
                <w:szCs w:val="20"/>
              </w:rPr>
              <w:t>17.63</w:t>
            </w:r>
          </w:p>
        </w:tc>
        <w:tc>
          <w:tcPr>
            <w:tcW w:w="0" w:type="auto"/>
            <w:tcBorders>
              <w:top w:val="nil"/>
              <w:left w:val="nil"/>
              <w:bottom w:val="nil"/>
              <w:right w:val="nil"/>
            </w:tcBorders>
            <w:shd w:val="clear" w:color="auto" w:fill="auto"/>
            <w:noWrap/>
            <w:vAlign w:val="bottom"/>
            <w:hideMark/>
          </w:tcPr>
          <w:p w14:paraId="6FF65A98" w14:textId="77777777" w:rsidR="0065555D" w:rsidRDefault="0065555D" w:rsidP="00FB3903">
            <w:pPr>
              <w:spacing w:line="240" w:lineRule="auto"/>
              <w:jc w:val="center"/>
              <w:rPr>
                <w:sz w:val="20"/>
                <w:szCs w:val="20"/>
              </w:rPr>
            </w:pPr>
            <w:r>
              <w:rPr>
                <w:sz w:val="20"/>
                <w:szCs w:val="20"/>
              </w:rPr>
              <w:t>10.00</w:t>
            </w:r>
          </w:p>
        </w:tc>
        <w:tc>
          <w:tcPr>
            <w:tcW w:w="0" w:type="auto"/>
            <w:tcBorders>
              <w:top w:val="nil"/>
              <w:left w:val="nil"/>
              <w:bottom w:val="nil"/>
              <w:right w:val="nil"/>
            </w:tcBorders>
            <w:shd w:val="clear" w:color="auto" w:fill="auto"/>
            <w:noWrap/>
            <w:vAlign w:val="bottom"/>
            <w:hideMark/>
          </w:tcPr>
          <w:p w14:paraId="58FE5E25" w14:textId="77777777" w:rsidR="0065555D" w:rsidRDefault="0065555D" w:rsidP="00FB3903">
            <w:pPr>
              <w:spacing w:line="240" w:lineRule="auto"/>
              <w:jc w:val="center"/>
              <w:rPr>
                <w:sz w:val="20"/>
                <w:szCs w:val="20"/>
              </w:rPr>
            </w:pPr>
            <w:r>
              <w:rPr>
                <w:sz w:val="20"/>
                <w:szCs w:val="20"/>
              </w:rPr>
              <w:t>1.63</w:t>
            </w:r>
          </w:p>
        </w:tc>
      </w:tr>
      <w:tr w:rsidR="0065555D" w:rsidRPr="004A1AA7" w14:paraId="4C94828F" w14:textId="77777777" w:rsidTr="00FB3903">
        <w:trPr>
          <w:trHeight w:val="264"/>
          <w:jc w:val="center"/>
        </w:trPr>
        <w:tc>
          <w:tcPr>
            <w:tcW w:w="0" w:type="auto"/>
            <w:tcBorders>
              <w:top w:val="nil"/>
              <w:left w:val="nil"/>
              <w:bottom w:val="nil"/>
              <w:right w:val="nil"/>
            </w:tcBorders>
            <w:shd w:val="clear" w:color="auto" w:fill="auto"/>
            <w:noWrap/>
            <w:vAlign w:val="bottom"/>
            <w:hideMark/>
          </w:tcPr>
          <w:p w14:paraId="7CBEEE56" w14:textId="77777777" w:rsidR="0065555D" w:rsidRPr="004A1AA7" w:rsidRDefault="0065555D" w:rsidP="00FB3903">
            <w:pPr>
              <w:spacing w:after="0" w:line="240" w:lineRule="auto"/>
              <w:jc w:val="center"/>
              <w:rPr>
                <w:rFonts w:eastAsia="Times New Roman" w:cs="Times New Roman"/>
                <w:color w:val="000000"/>
                <w:sz w:val="20"/>
                <w:szCs w:val="20"/>
              </w:rPr>
            </w:pPr>
            <w:r w:rsidRPr="004A1AA7">
              <w:rPr>
                <w:rFonts w:eastAsia="Times New Roman" w:cs="Times New Roman"/>
                <w:color w:val="000000"/>
                <w:sz w:val="20"/>
                <w:szCs w:val="20"/>
              </w:rPr>
              <w:t>1</w:t>
            </w:r>
          </w:p>
        </w:tc>
        <w:tc>
          <w:tcPr>
            <w:tcW w:w="0" w:type="auto"/>
            <w:tcBorders>
              <w:top w:val="nil"/>
              <w:left w:val="nil"/>
              <w:bottom w:val="nil"/>
              <w:right w:val="nil"/>
            </w:tcBorders>
            <w:shd w:val="clear" w:color="auto" w:fill="auto"/>
            <w:noWrap/>
            <w:vAlign w:val="bottom"/>
            <w:hideMark/>
          </w:tcPr>
          <w:p w14:paraId="43CA5ACB" w14:textId="77777777" w:rsidR="0065555D" w:rsidRDefault="0065555D" w:rsidP="00FB3903">
            <w:pPr>
              <w:spacing w:line="240" w:lineRule="auto"/>
              <w:jc w:val="center"/>
              <w:rPr>
                <w:sz w:val="20"/>
                <w:szCs w:val="20"/>
              </w:rPr>
            </w:pPr>
            <w:r>
              <w:rPr>
                <w:sz w:val="20"/>
                <w:szCs w:val="20"/>
              </w:rPr>
              <w:t>1,814</w:t>
            </w:r>
          </w:p>
        </w:tc>
        <w:tc>
          <w:tcPr>
            <w:tcW w:w="0" w:type="auto"/>
            <w:tcBorders>
              <w:top w:val="nil"/>
              <w:left w:val="nil"/>
              <w:bottom w:val="nil"/>
              <w:right w:val="nil"/>
            </w:tcBorders>
            <w:shd w:val="clear" w:color="auto" w:fill="auto"/>
            <w:noWrap/>
            <w:vAlign w:val="bottom"/>
            <w:hideMark/>
          </w:tcPr>
          <w:p w14:paraId="4509F9D5" w14:textId="77777777" w:rsidR="0065555D" w:rsidRDefault="0065555D" w:rsidP="00FB3903">
            <w:pPr>
              <w:spacing w:line="240" w:lineRule="auto"/>
              <w:jc w:val="center"/>
              <w:rPr>
                <w:sz w:val="20"/>
                <w:szCs w:val="20"/>
              </w:rPr>
            </w:pPr>
            <w:r>
              <w:rPr>
                <w:sz w:val="20"/>
                <w:szCs w:val="20"/>
              </w:rPr>
              <w:t>11.47</w:t>
            </w:r>
          </w:p>
        </w:tc>
        <w:tc>
          <w:tcPr>
            <w:tcW w:w="0" w:type="auto"/>
            <w:tcBorders>
              <w:top w:val="nil"/>
              <w:left w:val="nil"/>
              <w:bottom w:val="nil"/>
              <w:right w:val="nil"/>
            </w:tcBorders>
            <w:shd w:val="clear" w:color="auto" w:fill="auto"/>
            <w:noWrap/>
            <w:vAlign w:val="bottom"/>
            <w:hideMark/>
          </w:tcPr>
          <w:p w14:paraId="2AC24349" w14:textId="77777777" w:rsidR="0065555D" w:rsidRDefault="0065555D" w:rsidP="00FB3903">
            <w:pPr>
              <w:spacing w:line="240" w:lineRule="auto"/>
              <w:jc w:val="center"/>
              <w:rPr>
                <w:sz w:val="20"/>
                <w:szCs w:val="20"/>
              </w:rPr>
            </w:pPr>
            <w:r>
              <w:rPr>
                <w:sz w:val="20"/>
                <w:szCs w:val="20"/>
              </w:rPr>
              <w:t>1.00</w:t>
            </w:r>
          </w:p>
        </w:tc>
        <w:tc>
          <w:tcPr>
            <w:tcW w:w="0" w:type="auto"/>
            <w:tcBorders>
              <w:top w:val="nil"/>
              <w:left w:val="nil"/>
              <w:bottom w:val="nil"/>
              <w:right w:val="nil"/>
            </w:tcBorders>
            <w:shd w:val="clear" w:color="auto" w:fill="auto"/>
            <w:noWrap/>
            <w:vAlign w:val="bottom"/>
            <w:hideMark/>
          </w:tcPr>
          <w:p w14:paraId="799C185D" w14:textId="77777777" w:rsidR="0065555D" w:rsidRDefault="0065555D" w:rsidP="00FB3903">
            <w:pPr>
              <w:spacing w:line="240" w:lineRule="auto"/>
              <w:jc w:val="center"/>
              <w:rPr>
                <w:sz w:val="20"/>
                <w:szCs w:val="20"/>
              </w:rPr>
            </w:pPr>
            <w:r>
              <w:rPr>
                <w:sz w:val="20"/>
                <w:szCs w:val="20"/>
              </w:rPr>
              <w:t>23.87</w:t>
            </w:r>
          </w:p>
        </w:tc>
        <w:tc>
          <w:tcPr>
            <w:tcW w:w="0" w:type="auto"/>
            <w:tcBorders>
              <w:top w:val="nil"/>
              <w:left w:val="nil"/>
              <w:bottom w:val="nil"/>
              <w:right w:val="nil"/>
            </w:tcBorders>
            <w:shd w:val="clear" w:color="auto" w:fill="auto"/>
            <w:noWrap/>
            <w:vAlign w:val="bottom"/>
            <w:hideMark/>
          </w:tcPr>
          <w:p w14:paraId="745FA79C" w14:textId="77777777" w:rsidR="0065555D" w:rsidRDefault="0065555D" w:rsidP="00FB3903">
            <w:pPr>
              <w:spacing w:line="240" w:lineRule="auto"/>
              <w:jc w:val="center"/>
              <w:rPr>
                <w:sz w:val="20"/>
                <w:szCs w:val="20"/>
              </w:rPr>
            </w:pPr>
            <w:r>
              <w:rPr>
                <w:sz w:val="20"/>
                <w:szCs w:val="20"/>
              </w:rPr>
              <w:t>0.76</w:t>
            </w:r>
          </w:p>
        </w:tc>
        <w:tc>
          <w:tcPr>
            <w:tcW w:w="0" w:type="auto"/>
            <w:tcBorders>
              <w:top w:val="nil"/>
              <w:left w:val="nil"/>
              <w:bottom w:val="nil"/>
              <w:right w:val="nil"/>
            </w:tcBorders>
            <w:shd w:val="clear" w:color="auto" w:fill="auto"/>
            <w:noWrap/>
            <w:vAlign w:val="bottom"/>
            <w:hideMark/>
          </w:tcPr>
          <w:p w14:paraId="14AE0762" w14:textId="77777777" w:rsidR="0065555D" w:rsidRDefault="0065555D" w:rsidP="00FB3903">
            <w:pPr>
              <w:spacing w:line="240" w:lineRule="auto"/>
              <w:jc w:val="center"/>
              <w:rPr>
                <w:sz w:val="20"/>
                <w:szCs w:val="20"/>
              </w:rPr>
            </w:pPr>
            <w:r>
              <w:rPr>
                <w:sz w:val="20"/>
                <w:szCs w:val="20"/>
              </w:rPr>
              <w:t>1.3979</w:t>
            </w:r>
          </w:p>
        </w:tc>
        <w:tc>
          <w:tcPr>
            <w:tcW w:w="0" w:type="auto"/>
            <w:tcBorders>
              <w:top w:val="nil"/>
              <w:left w:val="nil"/>
              <w:bottom w:val="nil"/>
              <w:right w:val="nil"/>
            </w:tcBorders>
            <w:shd w:val="clear" w:color="auto" w:fill="auto"/>
            <w:noWrap/>
            <w:vAlign w:val="bottom"/>
            <w:hideMark/>
          </w:tcPr>
          <w:p w14:paraId="735DE9E1" w14:textId="77777777" w:rsidR="0065555D" w:rsidRDefault="0065555D" w:rsidP="00FB3903">
            <w:pPr>
              <w:spacing w:line="240" w:lineRule="auto"/>
              <w:jc w:val="center"/>
              <w:rPr>
                <w:sz w:val="20"/>
                <w:szCs w:val="20"/>
              </w:rPr>
            </w:pPr>
            <w:r>
              <w:rPr>
                <w:sz w:val="20"/>
                <w:szCs w:val="20"/>
              </w:rPr>
              <w:t>14.40</w:t>
            </w:r>
          </w:p>
        </w:tc>
        <w:tc>
          <w:tcPr>
            <w:tcW w:w="0" w:type="auto"/>
            <w:tcBorders>
              <w:top w:val="nil"/>
              <w:left w:val="nil"/>
              <w:bottom w:val="nil"/>
              <w:right w:val="nil"/>
            </w:tcBorders>
            <w:vAlign w:val="bottom"/>
          </w:tcPr>
          <w:p w14:paraId="74E24E2D" w14:textId="77777777" w:rsidR="0065555D" w:rsidRDefault="0065555D" w:rsidP="00FB3903">
            <w:pPr>
              <w:spacing w:line="240" w:lineRule="auto"/>
              <w:jc w:val="center"/>
              <w:rPr>
                <w:sz w:val="20"/>
                <w:szCs w:val="20"/>
              </w:rPr>
            </w:pPr>
            <w:r>
              <w:rPr>
                <w:sz w:val="20"/>
                <w:szCs w:val="20"/>
              </w:rPr>
              <w:t>7.31</w:t>
            </w:r>
          </w:p>
        </w:tc>
        <w:tc>
          <w:tcPr>
            <w:tcW w:w="0" w:type="auto"/>
            <w:tcBorders>
              <w:top w:val="nil"/>
              <w:left w:val="nil"/>
              <w:bottom w:val="nil"/>
              <w:right w:val="nil"/>
            </w:tcBorders>
            <w:shd w:val="clear" w:color="auto" w:fill="auto"/>
            <w:noWrap/>
            <w:vAlign w:val="bottom"/>
            <w:hideMark/>
          </w:tcPr>
          <w:p w14:paraId="28DE14DA" w14:textId="77777777" w:rsidR="0065555D" w:rsidRDefault="0065555D" w:rsidP="00FB3903">
            <w:pPr>
              <w:spacing w:line="240" w:lineRule="auto"/>
              <w:jc w:val="center"/>
              <w:rPr>
                <w:sz w:val="20"/>
                <w:szCs w:val="20"/>
              </w:rPr>
            </w:pPr>
            <w:r>
              <w:rPr>
                <w:sz w:val="20"/>
                <w:szCs w:val="20"/>
              </w:rPr>
              <w:t>72.88</w:t>
            </w:r>
          </w:p>
        </w:tc>
        <w:tc>
          <w:tcPr>
            <w:tcW w:w="0" w:type="auto"/>
            <w:tcBorders>
              <w:top w:val="nil"/>
              <w:left w:val="nil"/>
              <w:bottom w:val="nil"/>
              <w:right w:val="nil"/>
            </w:tcBorders>
            <w:shd w:val="clear" w:color="auto" w:fill="auto"/>
            <w:noWrap/>
            <w:vAlign w:val="bottom"/>
            <w:hideMark/>
          </w:tcPr>
          <w:p w14:paraId="6AD2B673" w14:textId="77777777" w:rsidR="0065555D" w:rsidRDefault="0065555D" w:rsidP="00FB3903">
            <w:pPr>
              <w:spacing w:line="240" w:lineRule="auto"/>
              <w:jc w:val="center"/>
              <w:rPr>
                <w:sz w:val="20"/>
                <w:szCs w:val="20"/>
              </w:rPr>
            </w:pPr>
            <w:r>
              <w:rPr>
                <w:sz w:val="20"/>
                <w:szCs w:val="20"/>
              </w:rPr>
              <w:t>0.0727</w:t>
            </w:r>
          </w:p>
        </w:tc>
        <w:tc>
          <w:tcPr>
            <w:tcW w:w="0" w:type="auto"/>
            <w:tcBorders>
              <w:top w:val="nil"/>
              <w:left w:val="nil"/>
              <w:bottom w:val="nil"/>
              <w:right w:val="nil"/>
            </w:tcBorders>
            <w:shd w:val="clear" w:color="auto" w:fill="auto"/>
            <w:noWrap/>
            <w:vAlign w:val="bottom"/>
            <w:hideMark/>
          </w:tcPr>
          <w:p w14:paraId="30AE5004" w14:textId="77777777" w:rsidR="0065555D" w:rsidRDefault="0065555D" w:rsidP="00FB3903">
            <w:pPr>
              <w:spacing w:line="240" w:lineRule="auto"/>
              <w:jc w:val="center"/>
              <w:rPr>
                <w:sz w:val="20"/>
                <w:szCs w:val="20"/>
              </w:rPr>
            </w:pPr>
            <w:r>
              <w:rPr>
                <w:sz w:val="20"/>
                <w:szCs w:val="20"/>
              </w:rPr>
              <w:t>95.43</w:t>
            </w:r>
          </w:p>
        </w:tc>
        <w:tc>
          <w:tcPr>
            <w:tcW w:w="0" w:type="auto"/>
            <w:tcBorders>
              <w:top w:val="nil"/>
              <w:left w:val="nil"/>
              <w:bottom w:val="nil"/>
              <w:right w:val="nil"/>
            </w:tcBorders>
            <w:shd w:val="clear" w:color="auto" w:fill="auto"/>
            <w:noWrap/>
            <w:vAlign w:val="bottom"/>
            <w:hideMark/>
          </w:tcPr>
          <w:p w14:paraId="2A407535" w14:textId="77777777" w:rsidR="0065555D" w:rsidRDefault="0065555D" w:rsidP="00FB3903">
            <w:pPr>
              <w:spacing w:line="240" w:lineRule="auto"/>
              <w:jc w:val="center"/>
              <w:rPr>
                <w:sz w:val="20"/>
                <w:szCs w:val="20"/>
              </w:rPr>
            </w:pPr>
            <w:r>
              <w:rPr>
                <w:sz w:val="20"/>
                <w:szCs w:val="20"/>
              </w:rPr>
              <w:t>0.1305</w:t>
            </w:r>
          </w:p>
        </w:tc>
        <w:tc>
          <w:tcPr>
            <w:tcW w:w="0" w:type="auto"/>
            <w:tcBorders>
              <w:top w:val="nil"/>
              <w:left w:val="nil"/>
              <w:bottom w:val="nil"/>
              <w:right w:val="nil"/>
            </w:tcBorders>
            <w:shd w:val="clear" w:color="auto" w:fill="auto"/>
            <w:noWrap/>
            <w:vAlign w:val="bottom"/>
            <w:hideMark/>
          </w:tcPr>
          <w:p w14:paraId="05DD3E3C" w14:textId="77777777" w:rsidR="0065555D" w:rsidRDefault="0065555D" w:rsidP="00FB3903">
            <w:pPr>
              <w:spacing w:line="240" w:lineRule="auto"/>
              <w:jc w:val="center"/>
              <w:rPr>
                <w:sz w:val="20"/>
                <w:szCs w:val="20"/>
              </w:rPr>
            </w:pPr>
            <w:r>
              <w:rPr>
                <w:sz w:val="20"/>
                <w:szCs w:val="20"/>
              </w:rPr>
              <w:t>14.57</w:t>
            </w:r>
          </w:p>
        </w:tc>
        <w:tc>
          <w:tcPr>
            <w:tcW w:w="0" w:type="auto"/>
            <w:tcBorders>
              <w:top w:val="nil"/>
              <w:left w:val="nil"/>
              <w:bottom w:val="nil"/>
              <w:right w:val="nil"/>
            </w:tcBorders>
            <w:shd w:val="clear" w:color="auto" w:fill="auto"/>
            <w:noWrap/>
            <w:vAlign w:val="bottom"/>
            <w:hideMark/>
          </w:tcPr>
          <w:p w14:paraId="13A93E52" w14:textId="77777777" w:rsidR="0065555D" w:rsidRDefault="0065555D" w:rsidP="00FB3903">
            <w:pPr>
              <w:spacing w:line="240" w:lineRule="auto"/>
              <w:jc w:val="center"/>
              <w:rPr>
                <w:sz w:val="20"/>
                <w:szCs w:val="20"/>
              </w:rPr>
            </w:pPr>
            <w:r>
              <w:rPr>
                <w:sz w:val="20"/>
                <w:szCs w:val="20"/>
              </w:rPr>
              <w:t>9.93</w:t>
            </w:r>
          </w:p>
        </w:tc>
        <w:tc>
          <w:tcPr>
            <w:tcW w:w="0" w:type="auto"/>
            <w:tcBorders>
              <w:top w:val="nil"/>
              <w:left w:val="nil"/>
              <w:bottom w:val="nil"/>
              <w:right w:val="nil"/>
            </w:tcBorders>
            <w:shd w:val="clear" w:color="auto" w:fill="auto"/>
            <w:noWrap/>
            <w:vAlign w:val="bottom"/>
            <w:hideMark/>
          </w:tcPr>
          <w:p w14:paraId="5EC87DF1" w14:textId="77777777" w:rsidR="0065555D" w:rsidRDefault="0065555D" w:rsidP="00FB3903">
            <w:pPr>
              <w:spacing w:line="240" w:lineRule="auto"/>
              <w:jc w:val="center"/>
              <w:rPr>
                <w:sz w:val="20"/>
                <w:szCs w:val="20"/>
              </w:rPr>
            </w:pPr>
            <w:r>
              <w:rPr>
                <w:sz w:val="20"/>
                <w:szCs w:val="20"/>
              </w:rPr>
              <w:t>1.49</w:t>
            </w:r>
          </w:p>
        </w:tc>
      </w:tr>
      <w:tr w:rsidR="0065555D" w:rsidRPr="004A1AA7" w14:paraId="081E8E44" w14:textId="77777777" w:rsidTr="00FB3903">
        <w:trPr>
          <w:trHeight w:val="264"/>
          <w:jc w:val="center"/>
        </w:trPr>
        <w:tc>
          <w:tcPr>
            <w:tcW w:w="0" w:type="auto"/>
            <w:tcBorders>
              <w:top w:val="single" w:sz="4" w:space="0" w:color="auto"/>
              <w:left w:val="nil"/>
              <w:bottom w:val="single" w:sz="4" w:space="0" w:color="auto"/>
              <w:right w:val="nil"/>
            </w:tcBorders>
            <w:shd w:val="clear" w:color="auto" w:fill="auto"/>
            <w:noWrap/>
            <w:vAlign w:val="bottom"/>
            <w:hideMark/>
          </w:tcPr>
          <w:p w14:paraId="78617306" w14:textId="77777777" w:rsidR="0065555D" w:rsidRPr="004A1AA7" w:rsidRDefault="0065555D" w:rsidP="00FB3903">
            <w:pPr>
              <w:spacing w:after="0" w:line="240" w:lineRule="auto"/>
              <w:jc w:val="center"/>
              <w:rPr>
                <w:rFonts w:eastAsia="Times New Roman" w:cs="Times New Roman"/>
                <w:color w:val="000000"/>
                <w:sz w:val="20"/>
                <w:szCs w:val="20"/>
              </w:rPr>
            </w:pPr>
            <w:r w:rsidRPr="004A1AA7">
              <w:rPr>
                <w:rFonts w:eastAsia="Times New Roman" w:cs="Times New Roman"/>
                <w:color w:val="000000"/>
                <w:sz w:val="20"/>
                <w:szCs w:val="20"/>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4D86AD88" w14:textId="77777777" w:rsidR="0065555D" w:rsidRDefault="0065555D" w:rsidP="00FB3903">
            <w:pPr>
              <w:spacing w:line="240" w:lineRule="auto"/>
              <w:jc w:val="center"/>
              <w:rPr>
                <w:sz w:val="20"/>
                <w:szCs w:val="20"/>
              </w:rPr>
            </w:pPr>
            <w:r>
              <w:rPr>
                <w:sz w:val="20"/>
                <w:szCs w:val="20"/>
              </w:rPr>
              <w:t>15,817</w:t>
            </w:r>
          </w:p>
        </w:tc>
        <w:tc>
          <w:tcPr>
            <w:tcW w:w="0" w:type="auto"/>
            <w:tcBorders>
              <w:top w:val="single" w:sz="4" w:space="0" w:color="auto"/>
              <w:left w:val="nil"/>
              <w:bottom w:val="single" w:sz="4" w:space="0" w:color="auto"/>
              <w:right w:val="nil"/>
            </w:tcBorders>
            <w:shd w:val="clear" w:color="auto" w:fill="auto"/>
            <w:noWrap/>
            <w:vAlign w:val="bottom"/>
            <w:hideMark/>
          </w:tcPr>
          <w:p w14:paraId="42BC1A17" w14:textId="77777777" w:rsidR="0065555D" w:rsidRDefault="0065555D" w:rsidP="00FB3903">
            <w:pPr>
              <w:spacing w:line="240" w:lineRule="auto"/>
              <w:jc w:val="center"/>
              <w:rPr>
                <w:sz w:val="20"/>
                <w:szCs w:val="20"/>
              </w:rPr>
            </w:pPr>
            <w:r>
              <w:rPr>
                <w:sz w:val="20"/>
                <w:szCs w:val="20"/>
              </w:rPr>
              <w:t>100.00</w:t>
            </w:r>
          </w:p>
        </w:tc>
        <w:tc>
          <w:tcPr>
            <w:tcW w:w="0" w:type="auto"/>
            <w:tcBorders>
              <w:top w:val="single" w:sz="4" w:space="0" w:color="auto"/>
              <w:left w:val="nil"/>
              <w:bottom w:val="single" w:sz="4" w:space="0" w:color="auto"/>
              <w:right w:val="nil"/>
            </w:tcBorders>
            <w:shd w:val="clear" w:color="auto" w:fill="auto"/>
            <w:noWrap/>
            <w:vAlign w:val="bottom"/>
            <w:hideMark/>
          </w:tcPr>
          <w:p w14:paraId="4541BC79" w14:textId="77777777" w:rsidR="0065555D" w:rsidRDefault="0065555D" w:rsidP="00FB3903">
            <w:pPr>
              <w:spacing w:line="240" w:lineRule="auto"/>
              <w:jc w:val="center"/>
              <w:rPr>
                <w:sz w:val="20"/>
                <w:szCs w:val="20"/>
              </w:rPr>
            </w:pPr>
            <w:r>
              <w:rPr>
                <w:sz w:val="20"/>
                <w:szCs w:val="20"/>
              </w:rPr>
              <w:t>0.11</w:t>
            </w:r>
          </w:p>
        </w:tc>
        <w:tc>
          <w:tcPr>
            <w:tcW w:w="0" w:type="auto"/>
            <w:tcBorders>
              <w:top w:val="single" w:sz="4" w:space="0" w:color="auto"/>
              <w:left w:val="nil"/>
              <w:bottom w:val="single" w:sz="4" w:space="0" w:color="auto"/>
              <w:right w:val="nil"/>
            </w:tcBorders>
            <w:shd w:val="clear" w:color="auto" w:fill="auto"/>
            <w:noWrap/>
            <w:vAlign w:val="bottom"/>
            <w:hideMark/>
          </w:tcPr>
          <w:p w14:paraId="05E838D0" w14:textId="77777777" w:rsidR="0065555D" w:rsidRDefault="0065555D" w:rsidP="00FB3903">
            <w:pPr>
              <w:spacing w:line="240" w:lineRule="auto"/>
              <w:jc w:val="center"/>
              <w:rPr>
                <w:sz w:val="20"/>
                <w:szCs w:val="20"/>
              </w:rPr>
            </w:pPr>
            <w:r>
              <w:rPr>
                <w:sz w:val="20"/>
                <w:szCs w:val="20"/>
              </w:rPr>
              <w:t>35.70</w:t>
            </w:r>
          </w:p>
        </w:tc>
        <w:tc>
          <w:tcPr>
            <w:tcW w:w="0" w:type="auto"/>
            <w:tcBorders>
              <w:top w:val="single" w:sz="4" w:space="0" w:color="auto"/>
              <w:left w:val="nil"/>
              <w:bottom w:val="single" w:sz="4" w:space="0" w:color="auto"/>
              <w:right w:val="nil"/>
            </w:tcBorders>
            <w:shd w:val="clear" w:color="auto" w:fill="auto"/>
            <w:noWrap/>
            <w:vAlign w:val="bottom"/>
            <w:hideMark/>
          </w:tcPr>
          <w:p w14:paraId="38D848A6" w14:textId="77777777" w:rsidR="0065555D" w:rsidRDefault="0065555D" w:rsidP="00FB3903">
            <w:pPr>
              <w:spacing w:line="240" w:lineRule="auto"/>
              <w:jc w:val="center"/>
              <w:rPr>
                <w:sz w:val="20"/>
                <w:szCs w:val="20"/>
              </w:rPr>
            </w:pPr>
            <w:r>
              <w:rPr>
                <w:sz w:val="20"/>
                <w:szCs w:val="20"/>
              </w:rPr>
              <w:t>0.60</w:t>
            </w:r>
          </w:p>
        </w:tc>
        <w:tc>
          <w:tcPr>
            <w:tcW w:w="0" w:type="auto"/>
            <w:tcBorders>
              <w:top w:val="single" w:sz="4" w:space="0" w:color="auto"/>
              <w:left w:val="nil"/>
              <w:bottom w:val="single" w:sz="4" w:space="0" w:color="auto"/>
              <w:right w:val="nil"/>
            </w:tcBorders>
            <w:shd w:val="clear" w:color="auto" w:fill="auto"/>
            <w:noWrap/>
            <w:vAlign w:val="bottom"/>
            <w:hideMark/>
          </w:tcPr>
          <w:p w14:paraId="5C67CDE9" w14:textId="77777777" w:rsidR="0065555D" w:rsidRDefault="0065555D" w:rsidP="00FB3903">
            <w:pPr>
              <w:spacing w:line="240" w:lineRule="auto"/>
              <w:jc w:val="center"/>
              <w:rPr>
                <w:sz w:val="20"/>
                <w:szCs w:val="20"/>
              </w:rPr>
            </w:pPr>
            <w:r>
              <w:rPr>
                <w:sz w:val="20"/>
                <w:szCs w:val="20"/>
              </w:rPr>
              <w:t>1.4413</w:t>
            </w:r>
          </w:p>
        </w:tc>
        <w:tc>
          <w:tcPr>
            <w:tcW w:w="0" w:type="auto"/>
            <w:tcBorders>
              <w:top w:val="single" w:sz="4" w:space="0" w:color="auto"/>
              <w:left w:val="nil"/>
              <w:bottom w:val="single" w:sz="4" w:space="0" w:color="auto"/>
              <w:right w:val="nil"/>
            </w:tcBorders>
            <w:shd w:val="clear" w:color="auto" w:fill="auto"/>
            <w:noWrap/>
            <w:vAlign w:val="bottom"/>
            <w:hideMark/>
          </w:tcPr>
          <w:p w14:paraId="15535A09" w14:textId="77777777" w:rsidR="0065555D" w:rsidRDefault="0065555D" w:rsidP="00FB3903">
            <w:pPr>
              <w:spacing w:line="240" w:lineRule="auto"/>
              <w:jc w:val="center"/>
              <w:rPr>
                <w:sz w:val="20"/>
                <w:szCs w:val="20"/>
              </w:rPr>
            </w:pPr>
            <w:r>
              <w:rPr>
                <w:sz w:val="20"/>
                <w:szCs w:val="20"/>
              </w:rPr>
              <w:t>15.46</w:t>
            </w:r>
          </w:p>
        </w:tc>
        <w:tc>
          <w:tcPr>
            <w:tcW w:w="0" w:type="auto"/>
            <w:tcBorders>
              <w:top w:val="single" w:sz="4" w:space="0" w:color="auto"/>
              <w:left w:val="nil"/>
              <w:bottom w:val="single" w:sz="4" w:space="0" w:color="auto"/>
              <w:right w:val="nil"/>
            </w:tcBorders>
            <w:vAlign w:val="bottom"/>
          </w:tcPr>
          <w:p w14:paraId="39B1BE72" w14:textId="77777777" w:rsidR="0065555D" w:rsidRDefault="0065555D" w:rsidP="00FB3903">
            <w:pPr>
              <w:spacing w:line="240" w:lineRule="auto"/>
              <w:jc w:val="center"/>
              <w:rPr>
                <w:sz w:val="20"/>
                <w:szCs w:val="20"/>
              </w:rPr>
            </w:pPr>
            <w:r>
              <w:rPr>
                <w:sz w:val="20"/>
                <w:szCs w:val="20"/>
              </w:rPr>
              <w:t>8.01</w:t>
            </w:r>
          </w:p>
        </w:tc>
        <w:tc>
          <w:tcPr>
            <w:tcW w:w="0" w:type="auto"/>
            <w:tcBorders>
              <w:top w:val="single" w:sz="4" w:space="0" w:color="auto"/>
              <w:left w:val="nil"/>
              <w:bottom w:val="single" w:sz="4" w:space="0" w:color="auto"/>
              <w:right w:val="nil"/>
            </w:tcBorders>
            <w:shd w:val="clear" w:color="auto" w:fill="auto"/>
            <w:noWrap/>
            <w:vAlign w:val="bottom"/>
            <w:hideMark/>
          </w:tcPr>
          <w:p w14:paraId="72E3F793" w14:textId="77777777" w:rsidR="0065555D" w:rsidRDefault="0065555D" w:rsidP="00FB3903">
            <w:pPr>
              <w:spacing w:line="240" w:lineRule="auto"/>
              <w:jc w:val="center"/>
              <w:rPr>
                <w:sz w:val="20"/>
                <w:szCs w:val="20"/>
              </w:rPr>
            </w:pPr>
            <w:r>
              <w:rPr>
                <w:sz w:val="20"/>
                <w:szCs w:val="20"/>
              </w:rPr>
              <w:t>69.10</w:t>
            </w:r>
          </w:p>
        </w:tc>
        <w:tc>
          <w:tcPr>
            <w:tcW w:w="0" w:type="auto"/>
            <w:tcBorders>
              <w:top w:val="single" w:sz="4" w:space="0" w:color="auto"/>
              <w:left w:val="nil"/>
              <w:bottom w:val="single" w:sz="4" w:space="0" w:color="auto"/>
              <w:right w:val="nil"/>
            </w:tcBorders>
            <w:shd w:val="clear" w:color="auto" w:fill="auto"/>
            <w:noWrap/>
            <w:vAlign w:val="bottom"/>
            <w:hideMark/>
          </w:tcPr>
          <w:p w14:paraId="2E9DAC47" w14:textId="77777777" w:rsidR="0065555D" w:rsidRDefault="0065555D" w:rsidP="00FB3903">
            <w:pPr>
              <w:spacing w:line="240" w:lineRule="auto"/>
              <w:jc w:val="center"/>
              <w:rPr>
                <w:sz w:val="20"/>
                <w:szCs w:val="20"/>
              </w:rPr>
            </w:pPr>
            <w:r>
              <w:rPr>
                <w:sz w:val="20"/>
                <w:szCs w:val="20"/>
              </w:rPr>
              <w:t>0.0738</w:t>
            </w:r>
          </w:p>
        </w:tc>
        <w:tc>
          <w:tcPr>
            <w:tcW w:w="0" w:type="auto"/>
            <w:tcBorders>
              <w:top w:val="single" w:sz="4" w:space="0" w:color="auto"/>
              <w:left w:val="nil"/>
              <w:bottom w:val="single" w:sz="4" w:space="0" w:color="auto"/>
              <w:right w:val="nil"/>
            </w:tcBorders>
            <w:shd w:val="clear" w:color="auto" w:fill="auto"/>
            <w:noWrap/>
            <w:vAlign w:val="bottom"/>
            <w:hideMark/>
          </w:tcPr>
          <w:p w14:paraId="71E6EC97" w14:textId="77777777" w:rsidR="0065555D" w:rsidRDefault="0065555D" w:rsidP="00FB3903">
            <w:pPr>
              <w:spacing w:line="240" w:lineRule="auto"/>
              <w:jc w:val="center"/>
              <w:rPr>
                <w:sz w:val="20"/>
                <w:szCs w:val="20"/>
              </w:rPr>
            </w:pPr>
            <w:r>
              <w:rPr>
                <w:sz w:val="20"/>
                <w:szCs w:val="20"/>
              </w:rPr>
              <w:t>96.63</w:t>
            </w:r>
          </w:p>
        </w:tc>
        <w:tc>
          <w:tcPr>
            <w:tcW w:w="0" w:type="auto"/>
            <w:tcBorders>
              <w:top w:val="single" w:sz="4" w:space="0" w:color="auto"/>
              <w:left w:val="nil"/>
              <w:bottom w:val="single" w:sz="4" w:space="0" w:color="auto"/>
              <w:right w:val="nil"/>
            </w:tcBorders>
            <w:shd w:val="clear" w:color="auto" w:fill="auto"/>
            <w:noWrap/>
            <w:vAlign w:val="bottom"/>
            <w:hideMark/>
          </w:tcPr>
          <w:p w14:paraId="430F6407" w14:textId="77777777" w:rsidR="0065555D" w:rsidRDefault="0065555D" w:rsidP="00FB3903">
            <w:pPr>
              <w:spacing w:line="240" w:lineRule="auto"/>
              <w:jc w:val="center"/>
              <w:rPr>
                <w:sz w:val="20"/>
                <w:szCs w:val="20"/>
              </w:rPr>
            </w:pPr>
            <w:r>
              <w:rPr>
                <w:sz w:val="20"/>
                <w:szCs w:val="20"/>
              </w:rPr>
              <w:t>0.1558</w:t>
            </w:r>
          </w:p>
        </w:tc>
        <w:tc>
          <w:tcPr>
            <w:tcW w:w="0" w:type="auto"/>
            <w:tcBorders>
              <w:top w:val="single" w:sz="4" w:space="0" w:color="auto"/>
              <w:left w:val="nil"/>
              <w:bottom w:val="single" w:sz="4" w:space="0" w:color="auto"/>
              <w:right w:val="nil"/>
            </w:tcBorders>
            <w:shd w:val="clear" w:color="auto" w:fill="auto"/>
            <w:noWrap/>
            <w:vAlign w:val="bottom"/>
            <w:hideMark/>
          </w:tcPr>
          <w:p w14:paraId="407D2E18" w14:textId="77777777" w:rsidR="0065555D" w:rsidRDefault="0065555D" w:rsidP="00FB3903">
            <w:pPr>
              <w:spacing w:line="240" w:lineRule="auto"/>
              <w:jc w:val="center"/>
              <w:rPr>
                <w:sz w:val="20"/>
                <w:szCs w:val="20"/>
              </w:rPr>
            </w:pPr>
            <w:r>
              <w:rPr>
                <w:sz w:val="20"/>
                <w:szCs w:val="20"/>
              </w:rPr>
              <w:t>17.28</w:t>
            </w:r>
          </w:p>
        </w:tc>
        <w:tc>
          <w:tcPr>
            <w:tcW w:w="0" w:type="auto"/>
            <w:tcBorders>
              <w:top w:val="single" w:sz="4" w:space="0" w:color="auto"/>
              <w:left w:val="nil"/>
              <w:bottom w:val="single" w:sz="4" w:space="0" w:color="auto"/>
              <w:right w:val="nil"/>
            </w:tcBorders>
            <w:shd w:val="clear" w:color="auto" w:fill="auto"/>
            <w:noWrap/>
            <w:vAlign w:val="bottom"/>
            <w:hideMark/>
          </w:tcPr>
          <w:p w14:paraId="1D5E287C" w14:textId="77777777" w:rsidR="0065555D" w:rsidRDefault="0065555D" w:rsidP="00FB3903">
            <w:pPr>
              <w:spacing w:line="240" w:lineRule="auto"/>
              <w:jc w:val="center"/>
              <w:rPr>
                <w:sz w:val="20"/>
                <w:szCs w:val="20"/>
              </w:rPr>
            </w:pPr>
            <w:r>
              <w:rPr>
                <w:sz w:val="20"/>
                <w:szCs w:val="20"/>
              </w:rPr>
              <w:t>10.00</w:t>
            </w:r>
          </w:p>
        </w:tc>
        <w:tc>
          <w:tcPr>
            <w:tcW w:w="0" w:type="auto"/>
            <w:tcBorders>
              <w:top w:val="single" w:sz="4" w:space="0" w:color="auto"/>
              <w:left w:val="nil"/>
              <w:bottom w:val="single" w:sz="4" w:space="0" w:color="auto"/>
              <w:right w:val="nil"/>
            </w:tcBorders>
            <w:shd w:val="clear" w:color="auto" w:fill="auto"/>
            <w:noWrap/>
            <w:vAlign w:val="bottom"/>
            <w:hideMark/>
          </w:tcPr>
          <w:p w14:paraId="4043E7C0" w14:textId="77777777" w:rsidR="0065555D" w:rsidRDefault="0065555D" w:rsidP="00FB3903">
            <w:pPr>
              <w:spacing w:line="240" w:lineRule="auto"/>
              <w:jc w:val="center"/>
              <w:rPr>
                <w:sz w:val="20"/>
                <w:szCs w:val="20"/>
              </w:rPr>
            </w:pPr>
            <w:r>
              <w:rPr>
                <w:sz w:val="20"/>
                <w:szCs w:val="20"/>
              </w:rPr>
              <w:t>1.61</w:t>
            </w:r>
          </w:p>
        </w:tc>
      </w:tr>
    </w:tbl>
    <w:p w14:paraId="17446E31" w14:textId="77777777" w:rsidR="0065555D" w:rsidRDefault="0065555D" w:rsidP="00FB3903">
      <w:pPr>
        <w:spacing w:line="240" w:lineRule="auto"/>
      </w:pPr>
    </w:p>
    <w:p w14:paraId="37441D13" w14:textId="77777777" w:rsidR="0065555D" w:rsidRDefault="0065555D" w:rsidP="00FB3903">
      <w:pPr>
        <w:spacing w:line="240" w:lineRule="auto"/>
        <w:sectPr w:rsidR="0065555D" w:rsidSect="00FB3903">
          <w:pgSz w:w="15840" w:h="12240" w:orient="landscape"/>
          <w:pgMar w:top="1440" w:right="1440" w:bottom="1440" w:left="1440" w:header="720" w:footer="720" w:gutter="0"/>
          <w:cols w:space="720"/>
          <w:docGrid w:linePitch="360"/>
        </w:sectPr>
      </w:pPr>
    </w:p>
    <w:p w14:paraId="4B1C427C" w14:textId="77777777" w:rsidR="0065555D" w:rsidRDefault="0065555D" w:rsidP="00FB3903">
      <w:pPr>
        <w:pStyle w:val="Caption"/>
        <w:spacing w:after="0"/>
      </w:pPr>
      <w:bookmarkStart w:id="9" w:name="_Ref413080134"/>
      <w:r>
        <w:t xml:space="preserve">Table </w:t>
      </w:r>
      <w:r>
        <w:rPr>
          <w:noProof/>
        </w:rPr>
        <w:t>8</w:t>
      </w:r>
      <w:bookmarkEnd w:id="9"/>
      <w:r>
        <w:t xml:space="preserve">: </w:t>
      </w:r>
      <w:r w:rsidRPr="00C13B31">
        <w:t>Logistic Regressions for Likelihood of Eventual 90+ Day Loan Delinquency</w:t>
      </w:r>
    </w:p>
    <w:p w14:paraId="162F6E0F" w14:textId="77777777" w:rsidR="0065555D" w:rsidRPr="00DE52BA" w:rsidRDefault="0065555D" w:rsidP="00FB3903">
      <w:pPr>
        <w:spacing w:line="240" w:lineRule="auto"/>
        <w:rPr>
          <w:rFonts w:cs="Times New Roman"/>
        </w:rPr>
      </w:pPr>
      <w:r>
        <w:t>This table displays r</w:t>
      </w:r>
      <w:r w:rsidRPr="00C13B31">
        <w:t xml:space="preserve">esults from logistic regressions that model the likelihood with which a commercial mortgage loan eventually becomes 90+ days delinquent. </w:t>
      </w:r>
      <w:r>
        <w:rPr>
          <w:rFonts w:cs="Times New Roman"/>
        </w:rPr>
        <w:t>All regressions include census region dummies and quarter dummies, and s</w:t>
      </w:r>
      <w:r w:rsidRPr="00DE52BA">
        <w:rPr>
          <w:rFonts w:cs="Times New Roman"/>
        </w:rPr>
        <w:t>tandard errors for the coefficients are clustered by quarter.</w:t>
      </w:r>
    </w:p>
    <w:p w14:paraId="349DF537" w14:textId="77777777" w:rsidR="0065555D" w:rsidRPr="00DE52BA" w:rsidRDefault="0065555D" w:rsidP="00FB3903">
      <w:pPr>
        <w:spacing w:line="240" w:lineRule="auto"/>
        <w:rPr>
          <w:rFonts w:cs="Times New Roman"/>
        </w:rPr>
      </w:pPr>
    </w:p>
    <w:p w14:paraId="2AD50890" w14:textId="77777777" w:rsidR="0065555D" w:rsidRPr="00DE52BA" w:rsidRDefault="0065555D" w:rsidP="00FB3903">
      <w:pPr>
        <w:spacing w:line="240" w:lineRule="auto"/>
        <w:jc w:val="center"/>
        <w:rPr>
          <w:rFonts w:cs="Times New Roman"/>
        </w:rPr>
      </w:pPr>
      <w:r w:rsidRPr="00DE52BA">
        <w:rPr>
          <w:rFonts w:cs="Times New Roman"/>
        </w:rPr>
        <w:t>Panel A: Diversification measured using Percent Square Footage of Occupied by the Property’s Largest Tenant</w:t>
      </w:r>
      <w:r>
        <w:rPr>
          <w:rFonts w:cs="Times New Roman"/>
        </w:rPr>
        <w:t xml:space="preserve"> (L1%)</w:t>
      </w:r>
    </w:p>
    <w:tbl>
      <w:tblPr>
        <w:tblW w:w="12960" w:type="dxa"/>
        <w:jc w:val="center"/>
        <w:tblCellMar>
          <w:left w:w="43" w:type="dxa"/>
          <w:right w:w="43" w:type="dxa"/>
        </w:tblCellMar>
        <w:tblLook w:val="04A0" w:firstRow="1" w:lastRow="0" w:firstColumn="1" w:lastColumn="0" w:noHBand="0" w:noVBand="1"/>
      </w:tblPr>
      <w:tblGrid>
        <w:gridCol w:w="3245"/>
        <w:gridCol w:w="953"/>
        <w:gridCol w:w="618"/>
        <w:gridCol w:w="842"/>
        <w:gridCol w:w="953"/>
        <w:gridCol w:w="618"/>
        <w:gridCol w:w="842"/>
        <w:gridCol w:w="953"/>
        <w:gridCol w:w="618"/>
        <w:gridCol w:w="842"/>
        <w:gridCol w:w="953"/>
        <w:gridCol w:w="618"/>
        <w:gridCol w:w="905"/>
      </w:tblGrid>
      <w:tr w:rsidR="0065555D" w:rsidRPr="003463D2" w14:paraId="55969D20" w14:textId="77777777" w:rsidTr="0094653F">
        <w:trPr>
          <w:trHeight w:val="264"/>
          <w:jc w:val="center"/>
        </w:trPr>
        <w:tc>
          <w:tcPr>
            <w:tcW w:w="3244" w:type="dxa"/>
            <w:vMerge w:val="restart"/>
            <w:tcBorders>
              <w:top w:val="single" w:sz="4" w:space="0" w:color="auto"/>
              <w:left w:val="nil"/>
              <w:right w:val="nil"/>
            </w:tcBorders>
            <w:shd w:val="clear" w:color="auto" w:fill="auto"/>
            <w:noWrap/>
            <w:vAlign w:val="bottom"/>
          </w:tcPr>
          <w:p w14:paraId="49B63E06" w14:textId="77777777" w:rsidR="0065555D" w:rsidRPr="003463D2" w:rsidRDefault="0065555D" w:rsidP="00FB3903">
            <w:pPr>
              <w:spacing w:after="0" w:line="240" w:lineRule="auto"/>
              <w:rPr>
                <w:rFonts w:eastAsia="Times New Roman" w:cs="Times New Roman"/>
                <w:sz w:val="18"/>
                <w:szCs w:val="18"/>
              </w:rPr>
            </w:pPr>
            <w:r w:rsidRPr="003463D2">
              <w:rPr>
                <w:rFonts w:eastAsia="Times New Roman" w:cs="Times New Roman"/>
                <w:sz w:val="18"/>
                <w:szCs w:val="18"/>
              </w:rPr>
              <w:t>Variable</w:t>
            </w:r>
          </w:p>
        </w:tc>
        <w:tc>
          <w:tcPr>
            <w:tcW w:w="0" w:type="auto"/>
            <w:gridSpan w:val="3"/>
            <w:tcBorders>
              <w:top w:val="single" w:sz="4" w:space="0" w:color="auto"/>
              <w:left w:val="nil"/>
              <w:bottom w:val="single" w:sz="4" w:space="0" w:color="auto"/>
              <w:right w:val="nil"/>
            </w:tcBorders>
            <w:shd w:val="clear" w:color="auto" w:fill="auto"/>
            <w:noWrap/>
            <w:vAlign w:val="center"/>
          </w:tcPr>
          <w:p w14:paraId="6F76517B" w14:textId="77777777" w:rsidR="0065555D" w:rsidRPr="003463D2" w:rsidRDefault="0065555D" w:rsidP="0094653F">
            <w:pPr>
              <w:spacing w:after="0" w:line="240" w:lineRule="auto"/>
              <w:jc w:val="center"/>
              <w:rPr>
                <w:rFonts w:eastAsia="Times New Roman" w:cs="Times New Roman"/>
                <w:color w:val="000000"/>
                <w:sz w:val="18"/>
                <w:szCs w:val="18"/>
              </w:rPr>
            </w:pPr>
            <w:r w:rsidRPr="003463D2">
              <w:rPr>
                <w:rFonts w:eastAsia="Times New Roman" w:cs="Times New Roman"/>
                <w:color w:val="000000"/>
                <w:sz w:val="18"/>
                <w:szCs w:val="18"/>
              </w:rPr>
              <w:t>Specification 1</w:t>
            </w:r>
          </w:p>
        </w:tc>
        <w:tc>
          <w:tcPr>
            <w:tcW w:w="0" w:type="auto"/>
            <w:gridSpan w:val="3"/>
            <w:tcBorders>
              <w:top w:val="single" w:sz="4" w:space="0" w:color="auto"/>
              <w:left w:val="nil"/>
              <w:bottom w:val="single" w:sz="4" w:space="0" w:color="auto"/>
              <w:right w:val="nil"/>
            </w:tcBorders>
            <w:vAlign w:val="center"/>
          </w:tcPr>
          <w:p w14:paraId="2920CBB4" w14:textId="77777777" w:rsidR="0065555D" w:rsidRPr="003463D2" w:rsidRDefault="0065555D" w:rsidP="0094653F">
            <w:pPr>
              <w:spacing w:after="0" w:line="240" w:lineRule="auto"/>
              <w:jc w:val="center"/>
              <w:rPr>
                <w:rFonts w:eastAsia="Times New Roman" w:cs="Times New Roman"/>
                <w:color w:val="000000"/>
                <w:sz w:val="18"/>
                <w:szCs w:val="18"/>
              </w:rPr>
            </w:pPr>
            <w:r w:rsidRPr="003463D2">
              <w:rPr>
                <w:rFonts w:eastAsia="Times New Roman" w:cs="Times New Roman"/>
                <w:color w:val="000000"/>
                <w:sz w:val="18"/>
                <w:szCs w:val="18"/>
              </w:rPr>
              <w:t>Specification 2</w:t>
            </w:r>
          </w:p>
        </w:tc>
        <w:tc>
          <w:tcPr>
            <w:tcW w:w="0" w:type="auto"/>
            <w:gridSpan w:val="3"/>
            <w:tcBorders>
              <w:top w:val="single" w:sz="4" w:space="0" w:color="auto"/>
              <w:left w:val="nil"/>
              <w:bottom w:val="single" w:sz="4" w:space="0" w:color="auto"/>
              <w:right w:val="nil"/>
            </w:tcBorders>
            <w:shd w:val="clear" w:color="auto" w:fill="auto"/>
            <w:noWrap/>
            <w:vAlign w:val="center"/>
          </w:tcPr>
          <w:p w14:paraId="6A338125" w14:textId="77777777" w:rsidR="0065555D" w:rsidRPr="003463D2" w:rsidRDefault="0065555D" w:rsidP="0094653F">
            <w:pPr>
              <w:spacing w:after="0" w:line="240" w:lineRule="auto"/>
              <w:jc w:val="center"/>
              <w:rPr>
                <w:rFonts w:eastAsia="Times New Roman" w:cs="Times New Roman"/>
                <w:color w:val="000000"/>
                <w:sz w:val="18"/>
                <w:szCs w:val="18"/>
              </w:rPr>
            </w:pPr>
            <w:r w:rsidRPr="003463D2">
              <w:rPr>
                <w:rFonts w:eastAsia="Times New Roman" w:cs="Times New Roman"/>
                <w:color w:val="000000"/>
                <w:sz w:val="18"/>
                <w:szCs w:val="18"/>
              </w:rPr>
              <w:t>Specification 3</w:t>
            </w:r>
          </w:p>
        </w:tc>
        <w:tc>
          <w:tcPr>
            <w:tcW w:w="0" w:type="auto"/>
            <w:gridSpan w:val="3"/>
            <w:tcBorders>
              <w:top w:val="single" w:sz="4" w:space="0" w:color="auto"/>
              <w:left w:val="nil"/>
              <w:bottom w:val="single" w:sz="4" w:space="0" w:color="auto"/>
              <w:right w:val="nil"/>
            </w:tcBorders>
            <w:shd w:val="clear" w:color="auto" w:fill="auto"/>
            <w:noWrap/>
            <w:vAlign w:val="center"/>
          </w:tcPr>
          <w:p w14:paraId="54EE5097" w14:textId="77777777" w:rsidR="0065555D" w:rsidRPr="003463D2" w:rsidRDefault="0065555D" w:rsidP="0094653F">
            <w:pPr>
              <w:spacing w:after="0" w:line="240" w:lineRule="auto"/>
              <w:jc w:val="center"/>
              <w:rPr>
                <w:rFonts w:eastAsia="Times New Roman" w:cs="Times New Roman"/>
                <w:color w:val="000000"/>
                <w:sz w:val="18"/>
                <w:szCs w:val="18"/>
              </w:rPr>
            </w:pPr>
            <w:r w:rsidRPr="003463D2">
              <w:rPr>
                <w:rFonts w:eastAsia="Times New Roman" w:cs="Times New Roman"/>
                <w:color w:val="000000"/>
                <w:sz w:val="18"/>
                <w:szCs w:val="18"/>
              </w:rPr>
              <w:t>Specification 4</w:t>
            </w:r>
          </w:p>
        </w:tc>
      </w:tr>
      <w:tr w:rsidR="0065555D" w:rsidRPr="003463D2" w14:paraId="48180067" w14:textId="77777777" w:rsidTr="007049D5">
        <w:trPr>
          <w:trHeight w:val="264"/>
          <w:jc w:val="center"/>
        </w:trPr>
        <w:tc>
          <w:tcPr>
            <w:tcW w:w="3244" w:type="dxa"/>
            <w:vMerge/>
            <w:tcBorders>
              <w:left w:val="nil"/>
              <w:bottom w:val="single" w:sz="4" w:space="0" w:color="auto"/>
              <w:right w:val="nil"/>
            </w:tcBorders>
            <w:shd w:val="clear" w:color="auto" w:fill="auto"/>
            <w:noWrap/>
            <w:vAlign w:val="bottom"/>
            <w:hideMark/>
          </w:tcPr>
          <w:p w14:paraId="0E16C086" w14:textId="77777777" w:rsidR="0065555D" w:rsidRPr="003463D2" w:rsidRDefault="0065555D" w:rsidP="00FB3903">
            <w:pPr>
              <w:spacing w:after="0" w:line="240" w:lineRule="auto"/>
              <w:rPr>
                <w:rFonts w:eastAsia="Times New Roman" w:cs="Times New Roman"/>
                <w:sz w:val="18"/>
                <w:szCs w:val="18"/>
              </w:rPr>
            </w:pPr>
          </w:p>
        </w:tc>
        <w:tc>
          <w:tcPr>
            <w:tcW w:w="0" w:type="auto"/>
            <w:tcBorders>
              <w:top w:val="single" w:sz="4" w:space="0" w:color="auto"/>
              <w:left w:val="nil"/>
              <w:bottom w:val="single" w:sz="4" w:space="0" w:color="auto"/>
              <w:right w:val="nil"/>
            </w:tcBorders>
            <w:shd w:val="clear" w:color="auto" w:fill="auto"/>
            <w:noWrap/>
            <w:vAlign w:val="bottom"/>
            <w:hideMark/>
          </w:tcPr>
          <w:p w14:paraId="19E49DBD" w14:textId="77777777" w:rsidR="0065555D" w:rsidRPr="003463D2" w:rsidRDefault="0065555D" w:rsidP="007049D5">
            <w:pPr>
              <w:spacing w:after="0" w:line="240" w:lineRule="auto"/>
              <w:jc w:val="center"/>
              <w:rPr>
                <w:rFonts w:eastAsia="Times New Roman" w:cs="Times New Roman"/>
                <w:color w:val="000000"/>
                <w:sz w:val="18"/>
                <w:szCs w:val="18"/>
              </w:rPr>
            </w:pPr>
            <w:r w:rsidRPr="003463D2">
              <w:rPr>
                <w:rFonts w:eastAsia="Times New Roman" w:cs="Times New Roman"/>
                <w:color w:val="000000"/>
                <w:sz w:val="18"/>
                <w:szCs w:val="18"/>
              </w:rPr>
              <w:t>Coefficient</w:t>
            </w:r>
          </w:p>
          <w:p w14:paraId="728412F4" w14:textId="77777777" w:rsidR="0065555D" w:rsidRPr="003463D2" w:rsidRDefault="0065555D" w:rsidP="007049D5">
            <w:pPr>
              <w:spacing w:after="0" w:line="240" w:lineRule="auto"/>
              <w:jc w:val="center"/>
              <w:rPr>
                <w:rFonts w:eastAsia="Times New Roman" w:cs="Times New Roman"/>
                <w:color w:val="000000"/>
                <w:sz w:val="18"/>
                <w:szCs w:val="18"/>
              </w:rPr>
            </w:pPr>
            <w:r w:rsidRPr="003463D2">
              <w:rPr>
                <w:rFonts w:eastAsia="Times New Roman" w:cs="Times New Roman"/>
                <w:color w:val="000000"/>
                <w:sz w:val="18"/>
                <w:szCs w:val="18"/>
              </w:rPr>
              <w:t>Estimate</w:t>
            </w:r>
          </w:p>
        </w:tc>
        <w:tc>
          <w:tcPr>
            <w:tcW w:w="0" w:type="auto"/>
            <w:tcBorders>
              <w:top w:val="single" w:sz="4" w:space="0" w:color="auto"/>
              <w:left w:val="nil"/>
              <w:bottom w:val="single" w:sz="4" w:space="0" w:color="auto"/>
              <w:right w:val="nil"/>
            </w:tcBorders>
            <w:shd w:val="clear" w:color="auto" w:fill="auto"/>
            <w:noWrap/>
            <w:vAlign w:val="bottom"/>
            <w:hideMark/>
          </w:tcPr>
          <w:p w14:paraId="4FD81CCA" w14:textId="77777777" w:rsidR="0065555D" w:rsidRPr="003463D2" w:rsidRDefault="0065555D" w:rsidP="007049D5">
            <w:pPr>
              <w:spacing w:after="0" w:line="240" w:lineRule="auto"/>
              <w:jc w:val="center"/>
              <w:rPr>
                <w:rFonts w:eastAsia="Times New Roman" w:cs="Times New Roman"/>
                <w:color w:val="000000"/>
                <w:sz w:val="18"/>
                <w:szCs w:val="18"/>
              </w:rPr>
            </w:pPr>
            <w:r w:rsidRPr="003463D2">
              <w:rPr>
                <w:rFonts w:eastAsia="Times New Roman" w:cs="Times New Roman"/>
                <w:color w:val="000000"/>
                <w:sz w:val="18"/>
                <w:szCs w:val="18"/>
              </w:rPr>
              <w:t>Odds</w:t>
            </w:r>
          </w:p>
          <w:p w14:paraId="30D55EDB" w14:textId="77777777" w:rsidR="0065555D" w:rsidRPr="003463D2" w:rsidRDefault="0065555D" w:rsidP="007049D5">
            <w:pPr>
              <w:spacing w:after="0" w:line="240" w:lineRule="auto"/>
              <w:jc w:val="center"/>
              <w:rPr>
                <w:rFonts w:eastAsia="Times New Roman" w:cs="Times New Roman"/>
                <w:color w:val="000000"/>
                <w:sz w:val="18"/>
                <w:szCs w:val="18"/>
              </w:rPr>
            </w:pPr>
            <w:r w:rsidRPr="003463D2">
              <w:rPr>
                <w:rFonts w:eastAsia="Times New Roman" w:cs="Times New Roman"/>
                <w:color w:val="000000"/>
                <w:sz w:val="18"/>
                <w:szCs w:val="18"/>
              </w:rPr>
              <w:t>Ratio</w:t>
            </w:r>
          </w:p>
        </w:tc>
        <w:tc>
          <w:tcPr>
            <w:tcW w:w="0" w:type="auto"/>
            <w:tcBorders>
              <w:top w:val="single" w:sz="4" w:space="0" w:color="auto"/>
              <w:left w:val="nil"/>
              <w:bottom w:val="single" w:sz="4" w:space="0" w:color="auto"/>
              <w:right w:val="nil"/>
            </w:tcBorders>
            <w:shd w:val="clear" w:color="auto" w:fill="auto"/>
            <w:noWrap/>
            <w:vAlign w:val="bottom"/>
            <w:hideMark/>
          </w:tcPr>
          <w:p w14:paraId="04A4B980" w14:textId="77777777" w:rsidR="0065555D" w:rsidRPr="003463D2" w:rsidRDefault="0065555D" w:rsidP="007049D5">
            <w:pPr>
              <w:spacing w:after="0" w:line="240" w:lineRule="auto"/>
              <w:jc w:val="center"/>
              <w:rPr>
                <w:rFonts w:eastAsia="Times New Roman" w:cs="Times New Roman"/>
                <w:color w:val="000000"/>
                <w:sz w:val="18"/>
                <w:szCs w:val="18"/>
              </w:rPr>
            </w:pPr>
            <w:r w:rsidRPr="003463D2">
              <w:rPr>
                <w:rFonts w:eastAsia="Times New Roman" w:cs="Times New Roman"/>
                <w:color w:val="000000"/>
                <w:sz w:val="18"/>
                <w:szCs w:val="18"/>
              </w:rPr>
              <w:t>Z-stat</w:t>
            </w:r>
          </w:p>
        </w:tc>
        <w:tc>
          <w:tcPr>
            <w:tcW w:w="0" w:type="auto"/>
            <w:tcBorders>
              <w:top w:val="single" w:sz="4" w:space="0" w:color="auto"/>
              <w:left w:val="nil"/>
              <w:bottom w:val="single" w:sz="4" w:space="0" w:color="auto"/>
              <w:right w:val="nil"/>
            </w:tcBorders>
            <w:vAlign w:val="bottom"/>
          </w:tcPr>
          <w:p w14:paraId="3E6D10FB" w14:textId="77777777" w:rsidR="0065555D" w:rsidRPr="003463D2" w:rsidRDefault="0065555D" w:rsidP="007049D5">
            <w:pPr>
              <w:spacing w:after="0" w:line="240" w:lineRule="auto"/>
              <w:jc w:val="center"/>
              <w:rPr>
                <w:rFonts w:eastAsia="Times New Roman" w:cs="Times New Roman"/>
                <w:color w:val="000000"/>
                <w:sz w:val="18"/>
                <w:szCs w:val="18"/>
              </w:rPr>
            </w:pPr>
            <w:r w:rsidRPr="003463D2">
              <w:rPr>
                <w:rFonts w:eastAsia="Times New Roman" w:cs="Times New Roman"/>
                <w:color w:val="000000"/>
                <w:sz w:val="18"/>
                <w:szCs w:val="18"/>
              </w:rPr>
              <w:t>Coefficient</w:t>
            </w:r>
          </w:p>
          <w:p w14:paraId="793150D6" w14:textId="77777777" w:rsidR="0065555D" w:rsidRPr="003463D2" w:rsidRDefault="0065555D" w:rsidP="007049D5">
            <w:pPr>
              <w:spacing w:after="0" w:line="240" w:lineRule="auto"/>
              <w:jc w:val="center"/>
              <w:rPr>
                <w:rFonts w:eastAsia="Times New Roman" w:cs="Times New Roman"/>
                <w:color w:val="000000"/>
                <w:sz w:val="18"/>
                <w:szCs w:val="18"/>
              </w:rPr>
            </w:pPr>
            <w:r w:rsidRPr="003463D2">
              <w:rPr>
                <w:rFonts w:eastAsia="Times New Roman" w:cs="Times New Roman"/>
                <w:color w:val="000000"/>
                <w:sz w:val="18"/>
                <w:szCs w:val="18"/>
              </w:rPr>
              <w:t>Estimate</w:t>
            </w:r>
          </w:p>
        </w:tc>
        <w:tc>
          <w:tcPr>
            <w:tcW w:w="0" w:type="auto"/>
            <w:tcBorders>
              <w:top w:val="single" w:sz="4" w:space="0" w:color="auto"/>
              <w:left w:val="nil"/>
              <w:bottom w:val="single" w:sz="4" w:space="0" w:color="auto"/>
              <w:right w:val="nil"/>
            </w:tcBorders>
            <w:vAlign w:val="bottom"/>
          </w:tcPr>
          <w:p w14:paraId="73F711E8" w14:textId="77777777" w:rsidR="0065555D" w:rsidRPr="003463D2" w:rsidRDefault="0065555D" w:rsidP="007049D5">
            <w:pPr>
              <w:spacing w:after="0" w:line="240" w:lineRule="auto"/>
              <w:jc w:val="center"/>
              <w:rPr>
                <w:rFonts w:eastAsia="Times New Roman" w:cs="Times New Roman"/>
                <w:color w:val="000000"/>
                <w:sz w:val="18"/>
                <w:szCs w:val="18"/>
              </w:rPr>
            </w:pPr>
            <w:r w:rsidRPr="003463D2">
              <w:rPr>
                <w:rFonts w:eastAsia="Times New Roman" w:cs="Times New Roman"/>
                <w:color w:val="000000"/>
                <w:sz w:val="18"/>
                <w:szCs w:val="18"/>
              </w:rPr>
              <w:t>Odds</w:t>
            </w:r>
          </w:p>
          <w:p w14:paraId="6876EE56" w14:textId="77777777" w:rsidR="0065555D" w:rsidRPr="003463D2" w:rsidRDefault="0065555D" w:rsidP="007049D5">
            <w:pPr>
              <w:spacing w:after="0" w:line="240" w:lineRule="auto"/>
              <w:jc w:val="center"/>
              <w:rPr>
                <w:rFonts w:eastAsia="Times New Roman" w:cs="Times New Roman"/>
                <w:color w:val="000000"/>
                <w:sz w:val="18"/>
                <w:szCs w:val="18"/>
              </w:rPr>
            </w:pPr>
            <w:r w:rsidRPr="003463D2">
              <w:rPr>
                <w:rFonts w:eastAsia="Times New Roman" w:cs="Times New Roman"/>
                <w:color w:val="000000"/>
                <w:sz w:val="18"/>
                <w:szCs w:val="18"/>
              </w:rPr>
              <w:t>Ratio</w:t>
            </w:r>
          </w:p>
        </w:tc>
        <w:tc>
          <w:tcPr>
            <w:tcW w:w="0" w:type="auto"/>
            <w:tcBorders>
              <w:top w:val="single" w:sz="4" w:space="0" w:color="auto"/>
              <w:left w:val="nil"/>
              <w:bottom w:val="single" w:sz="4" w:space="0" w:color="auto"/>
              <w:right w:val="nil"/>
            </w:tcBorders>
            <w:vAlign w:val="bottom"/>
          </w:tcPr>
          <w:p w14:paraId="35A2393A" w14:textId="77777777" w:rsidR="0065555D" w:rsidRPr="003463D2" w:rsidRDefault="0065555D" w:rsidP="007049D5">
            <w:pPr>
              <w:spacing w:after="0" w:line="240" w:lineRule="auto"/>
              <w:jc w:val="center"/>
              <w:rPr>
                <w:rFonts w:eastAsia="Times New Roman" w:cs="Times New Roman"/>
                <w:color w:val="000000"/>
                <w:sz w:val="18"/>
                <w:szCs w:val="18"/>
              </w:rPr>
            </w:pPr>
            <w:r w:rsidRPr="003463D2">
              <w:rPr>
                <w:rFonts w:eastAsia="Times New Roman" w:cs="Times New Roman"/>
                <w:color w:val="000000"/>
                <w:sz w:val="18"/>
                <w:szCs w:val="18"/>
              </w:rPr>
              <w:t>Z-stat</w:t>
            </w:r>
          </w:p>
        </w:tc>
        <w:tc>
          <w:tcPr>
            <w:tcW w:w="0" w:type="auto"/>
            <w:tcBorders>
              <w:top w:val="single" w:sz="4" w:space="0" w:color="auto"/>
              <w:left w:val="nil"/>
              <w:bottom w:val="single" w:sz="4" w:space="0" w:color="auto"/>
              <w:right w:val="nil"/>
            </w:tcBorders>
            <w:shd w:val="clear" w:color="auto" w:fill="auto"/>
            <w:noWrap/>
            <w:vAlign w:val="bottom"/>
            <w:hideMark/>
          </w:tcPr>
          <w:p w14:paraId="2B7A33B3" w14:textId="77777777" w:rsidR="0065555D" w:rsidRPr="003463D2" w:rsidRDefault="0065555D" w:rsidP="007049D5">
            <w:pPr>
              <w:spacing w:after="0" w:line="240" w:lineRule="auto"/>
              <w:jc w:val="center"/>
              <w:rPr>
                <w:rFonts w:eastAsia="Times New Roman" w:cs="Times New Roman"/>
                <w:color w:val="000000"/>
                <w:sz w:val="18"/>
                <w:szCs w:val="18"/>
              </w:rPr>
            </w:pPr>
            <w:r w:rsidRPr="003463D2">
              <w:rPr>
                <w:rFonts w:eastAsia="Times New Roman" w:cs="Times New Roman"/>
                <w:color w:val="000000"/>
                <w:sz w:val="18"/>
                <w:szCs w:val="18"/>
              </w:rPr>
              <w:t>Coefficient</w:t>
            </w:r>
          </w:p>
          <w:p w14:paraId="0A1E1466" w14:textId="77777777" w:rsidR="0065555D" w:rsidRPr="003463D2" w:rsidRDefault="0065555D" w:rsidP="007049D5">
            <w:pPr>
              <w:spacing w:after="0" w:line="240" w:lineRule="auto"/>
              <w:jc w:val="center"/>
              <w:rPr>
                <w:rFonts w:eastAsia="Times New Roman" w:cs="Times New Roman"/>
                <w:color w:val="000000"/>
                <w:sz w:val="18"/>
                <w:szCs w:val="18"/>
              </w:rPr>
            </w:pPr>
            <w:r w:rsidRPr="003463D2">
              <w:rPr>
                <w:rFonts w:eastAsia="Times New Roman" w:cs="Times New Roman"/>
                <w:color w:val="000000"/>
                <w:sz w:val="18"/>
                <w:szCs w:val="18"/>
              </w:rPr>
              <w:t>Estimate</w:t>
            </w:r>
          </w:p>
        </w:tc>
        <w:tc>
          <w:tcPr>
            <w:tcW w:w="0" w:type="auto"/>
            <w:tcBorders>
              <w:top w:val="single" w:sz="4" w:space="0" w:color="auto"/>
              <w:left w:val="nil"/>
              <w:bottom w:val="single" w:sz="4" w:space="0" w:color="auto"/>
              <w:right w:val="nil"/>
            </w:tcBorders>
            <w:shd w:val="clear" w:color="auto" w:fill="auto"/>
            <w:noWrap/>
            <w:vAlign w:val="bottom"/>
            <w:hideMark/>
          </w:tcPr>
          <w:p w14:paraId="3F0153A3" w14:textId="77777777" w:rsidR="0065555D" w:rsidRPr="003463D2" w:rsidRDefault="0065555D" w:rsidP="007049D5">
            <w:pPr>
              <w:spacing w:after="0" w:line="240" w:lineRule="auto"/>
              <w:jc w:val="center"/>
              <w:rPr>
                <w:rFonts w:eastAsia="Times New Roman" w:cs="Times New Roman"/>
                <w:color w:val="000000"/>
                <w:sz w:val="18"/>
                <w:szCs w:val="18"/>
              </w:rPr>
            </w:pPr>
            <w:r w:rsidRPr="003463D2">
              <w:rPr>
                <w:rFonts w:eastAsia="Times New Roman" w:cs="Times New Roman"/>
                <w:color w:val="000000"/>
                <w:sz w:val="18"/>
                <w:szCs w:val="18"/>
              </w:rPr>
              <w:t>Odds</w:t>
            </w:r>
          </w:p>
          <w:p w14:paraId="30F2721A" w14:textId="77777777" w:rsidR="0065555D" w:rsidRPr="003463D2" w:rsidRDefault="0065555D" w:rsidP="007049D5">
            <w:pPr>
              <w:spacing w:after="0" w:line="240" w:lineRule="auto"/>
              <w:jc w:val="center"/>
              <w:rPr>
                <w:rFonts w:eastAsia="Times New Roman" w:cs="Times New Roman"/>
                <w:color w:val="000000"/>
                <w:sz w:val="18"/>
                <w:szCs w:val="18"/>
              </w:rPr>
            </w:pPr>
            <w:r w:rsidRPr="003463D2">
              <w:rPr>
                <w:rFonts w:eastAsia="Times New Roman" w:cs="Times New Roman"/>
                <w:color w:val="000000"/>
                <w:sz w:val="18"/>
                <w:szCs w:val="18"/>
              </w:rPr>
              <w:t>Ratio</w:t>
            </w:r>
          </w:p>
        </w:tc>
        <w:tc>
          <w:tcPr>
            <w:tcW w:w="0" w:type="auto"/>
            <w:tcBorders>
              <w:top w:val="single" w:sz="4" w:space="0" w:color="auto"/>
              <w:left w:val="nil"/>
              <w:bottom w:val="single" w:sz="4" w:space="0" w:color="auto"/>
              <w:right w:val="nil"/>
            </w:tcBorders>
            <w:shd w:val="clear" w:color="auto" w:fill="auto"/>
            <w:noWrap/>
            <w:vAlign w:val="bottom"/>
            <w:hideMark/>
          </w:tcPr>
          <w:p w14:paraId="601019C6" w14:textId="77777777" w:rsidR="0065555D" w:rsidRPr="003463D2" w:rsidRDefault="0065555D" w:rsidP="007049D5">
            <w:pPr>
              <w:spacing w:after="0" w:line="240" w:lineRule="auto"/>
              <w:jc w:val="center"/>
              <w:rPr>
                <w:rFonts w:eastAsia="Times New Roman" w:cs="Times New Roman"/>
                <w:color w:val="000000"/>
                <w:sz w:val="18"/>
                <w:szCs w:val="18"/>
              </w:rPr>
            </w:pPr>
            <w:r w:rsidRPr="003463D2">
              <w:rPr>
                <w:rFonts w:eastAsia="Times New Roman" w:cs="Times New Roman"/>
                <w:color w:val="000000"/>
                <w:sz w:val="18"/>
                <w:szCs w:val="18"/>
              </w:rPr>
              <w:t>Z-stat</w:t>
            </w:r>
          </w:p>
        </w:tc>
        <w:tc>
          <w:tcPr>
            <w:tcW w:w="0" w:type="auto"/>
            <w:tcBorders>
              <w:top w:val="single" w:sz="4" w:space="0" w:color="auto"/>
              <w:left w:val="nil"/>
              <w:bottom w:val="single" w:sz="4" w:space="0" w:color="auto"/>
              <w:right w:val="nil"/>
            </w:tcBorders>
            <w:shd w:val="clear" w:color="auto" w:fill="auto"/>
            <w:noWrap/>
            <w:vAlign w:val="bottom"/>
            <w:hideMark/>
          </w:tcPr>
          <w:p w14:paraId="64B9A1F6" w14:textId="77777777" w:rsidR="0065555D" w:rsidRPr="003463D2" w:rsidRDefault="0065555D" w:rsidP="007049D5">
            <w:pPr>
              <w:spacing w:after="0" w:line="240" w:lineRule="auto"/>
              <w:jc w:val="center"/>
              <w:rPr>
                <w:rFonts w:eastAsia="Times New Roman" w:cs="Times New Roman"/>
                <w:color w:val="000000"/>
                <w:sz w:val="18"/>
                <w:szCs w:val="18"/>
              </w:rPr>
            </w:pPr>
            <w:r w:rsidRPr="003463D2">
              <w:rPr>
                <w:rFonts w:eastAsia="Times New Roman" w:cs="Times New Roman"/>
                <w:color w:val="000000"/>
                <w:sz w:val="18"/>
                <w:szCs w:val="18"/>
              </w:rPr>
              <w:t>Coefficient</w:t>
            </w:r>
          </w:p>
          <w:p w14:paraId="40873CD3" w14:textId="77777777" w:rsidR="0065555D" w:rsidRPr="003463D2" w:rsidRDefault="0065555D" w:rsidP="007049D5">
            <w:pPr>
              <w:spacing w:after="0" w:line="240" w:lineRule="auto"/>
              <w:jc w:val="center"/>
              <w:rPr>
                <w:rFonts w:eastAsia="Times New Roman" w:cs="Times New Roman"/>
                <w:color w:val="000000"/>
                <w:sz w:val="18"/>
                <w:szCs w:val="18"/>
              </w:rPr>
            </w:pPr>
            <w:r w:rsidRPr="003463D2">
              <w:rPr>
                <w:rFonts w:eastAsia="Times New Roman" w:cs="Times New Roman"/>
                <w:color w:val="000000"/>
                <w:sz w:val="18"/>
                <w:szCs w:val="18"/>
              </w:rPr>
              <w:t>Estimate</w:t>
            </w:r>
          </w:p>
        </w:tc>
        <w:tc>
          <w:tcPr>
            <w:tcW w:w="0" w:type="auto"/>
            <w:tcBorders>
              <w:top w:val="single" w:sz="4" w:space="0" w:color="auto"/>
              <w:left w:val="nil"/>
              <w:bottom w:val="single" w:sz="4" w:space="0" w:color="auto"/>
              <w:right w:val="nil"/>
            </w:tcBorders>
            <w:shd w:val="clear" w:color="auto" w:fill="auto"/>
            <w:noWrap/>
            <w:vAlign w:val="bottom"/>
            <w:hideMark/>
          </w:tcPr>
          <w:p w14:paraId="1F35380E" w14:textId="77777777" w:rsidR="0065555D" w:rsidRPr="003463D2" w:rsidRDefault="0065555D" w:rsidP="007049D5">
            <w:pPr>
              <w:spacing w:after="0" w:line="240" w:lineRule="auto"/>
              <w:jc w:val="center"/>
              <w:rPr>
                <w:rFonts w:eastAsia="Times New Roman" w:cs="Times New Roman"/>
                <w:color w:val="000000"/>
                <w:sz w:val="18"/>
                <w:szCs w:val="18"/>
              </w:rPr>
            </w:pPr>
            <w:r w:rsidRPr="003463D2">
              <w:rPr>
                <w:rFonts w:eastAsia="Times New Roman" w:cs="Times New Roman"/>
                <w:color w:val="000000"/>
                <w:sz w:val="18"/>
                <w:szCs w:val="18"/>
              </w:rPr>
              <w:t>Odds</w:t>
            </w:r>
          </w:p>
          <w:p w14:paraId="57B43CEA" w14:textId="77777777" w:rsidR="0065555D" w:rsidRPr="003463D2" w:rsidRDefault="0065555D" w:rsidP="007049D5">
            <w:pPr>
              <w:spacing w:after="0" w:line="240" w:lineRule="auto"/>
              <w:jc w:val="center"/>
              <w:rPr>
                <w:rFonts w:eastAsia="Times New Roman" w:cs="Times New Roman"/>
                <w:color w:val="000000"/>
                <w:sz w:val="18"/>
                <w:szCs w:val="18"/>
              </w:rPr>
            </w:pPr>
            <w:r w:rsidRPr="003463D2">
              <w:rPr>
                <w:rFonts w:eastAsia="Times New Roman" w:cs="Times New Roman"/>
                <w:color w:val="000000"/>
                <w:sz w:val="18"/>
                <w:szCs w:val="18"/>
              </w:rPr>
              <w:t>Ratio</w:t>
            </w:r>
          </w:p>
        </w:tc>
        <w:tc>
          <w:tcPr>
            <w:tcW w:w="0" w:type="auto"/>
            <w:tcBorders>
              <w:top w:val="single" w:sz="4" w:space="0" w:color="auto"/>
              <w:left w:val="nil"/>
              <w:bottom w:val="single" w:sz="4" w:space="0" w:color="auto"/>
              <w:right w:val="nil"/>
            </w:tcBorders>
            <w:shd w:val="clear" w:color="auto" w:fill="auto"/>
            <w:noWrap/>
            <w:vAlign w:val="bottom"/>
            <w:hideMark/>
          </w:tcPr>
          <w:p w14:paraId="3891AFF4" w14:textId="77777777" w:rsidR="0065555D" w:rsidRPr="003463D2" w:rsidRDefault="0065555D" w:rsidP="007049D5">
            <w:pPr>
              <w:spacing w:after="0" w:line="240" w:lineRule="auto"/>
              <w:jc w:val="center"/>
              <w:rPr>
                <w:rFonts w:eastAsia="Times New Roman" w:cs="Times New Roman"/>
                <w:color w:val="000000"/>
                <w:sz w:val="18"/>
                <w:szCs w:val="18"/>
              </w:rPr>
            </w:pPr>
            <w:r w:rsidRPr="003463D2">
              <w:rPr>
                <w:rFonts w:eastAsia="Times New Roman" w:cs="Times New Roman"/>
                <w:color w:val="000000"/>
                <w:sz w:val="18"/>
                <w:szCs w:val="18"/>
              </w:rPr>
              <w:t>Z-stat</w:t>
            </w:r>
          </w:p>
        </w:tc>
      </w:tr>
      <w:tr w:rsidR="0065555D" w:rsidRPr="003463D2" w14:paraId="33AC87DE" w14:textId="77777777" w:rsidTr="007049D5">
        <w:trPr>
          <w:trHeight w:val="264"/>
          <w:jc w:val="center"/>
        </w:trPr>
        <w:tc>
          <w:tcPr>
            <w:tcW w:w="3244" w:type="dxa"/>
            <w:tcBorders>
              <w:top w:val="nil"/>
              <w:left w:val="nil"/>
              <w:bottom w:val="nil"/>
              <w:right w:val="nil"/>
            </w:tcBorders>
            <w:shd w:val="clear" w:color="auto" w:fill="auto"/>
            <w:noWrap/>
            <w:vAlign w:val="center"/>
            <w:hideMark/>
          </w:tcPr>
          <w:p w14:paraId="5BD4444F" w14:textId="77777777" w:rsidR="0065555D" w:rsidRPr="003463D2" w:rsidRDefault="0065555D" w:rsidP="007049D5">
            <w:pPr>
              <w:spacing w:line="240" w:lineRule="auto"/>
              <w:jc w:val="left"/>
              <w:rPr>
                <w:rFonts w:eastAsia="MS Mincho" w:cs="Times New Roman"/>
                <w:sz w:val="18"/>
                <w:szCs w:val="18"/>
              </w:rPr>
            </w:pPr>
            <w:r w:rsidRPr="003463D2">
              <w:rPr>
                <w:rFonts w:eastAsia="MS Mincho" w:cs="Times New Roman"/>
                <w:sz w:val="18"/>
                <w:szCs w:val="18"/>
              </w:rPr>
              <w:t>L1%</w:t>
            </w:r>
          </w:p>
        </w:tc>
        <w:tc>
          <w:tcPr>
            <w:tcW w:w="0" w:type="auto"/>
            <w:tcBorders>
              <w:top w:val="nil"/>
              <w:left w:val="nil"/>
              <w:bottom w:val="nil"/>
              <w:right w:val="nil"/>
            </w:tcBorders>
            <w:shd w:val="clear" w:color="auto" w:fill="auto"/>
            <w:noWrap/>
            <w:vAlign w:val="center"/>
          </w:tcPr>
          <w:p w14:paraId="794D832E" w14:textId="77777777" w:rsidR="0065555D" w:rsidRPr="003463D2" w:rsidRDefault="0065555D" w:rsidP="007049D5">
            <w:pPr>
              <w:spacing w:line="240" w:lineRule="auto"/>
              <w:jc w:val="center"/>
              <w:rPr>
                <w:sz w:val="18"/>
                <w:szCs w:val="18"/>
              </w:rPr>
            </w:pPr>
            <w:r w:rsidRPr="003463D2">
              <w:rPr>
                <w:sz w:val="18"/>
                <w:szCs w:val="18"/>
              </w:rPr>
              <w:t>-0.0140</w:t>
            </w:r>
          </w:p>
        </w:tc>
        <w:tc>
          <w:tcPr>
            <w:tcW w:w="0" w:type="auto"/>
            <w:tcBorders>
              <w:top w:val="nil"/>
              <w:left w:val="nil"/>
              <w:bottom w:val="nil"/>
              <w:right w:val="nil"/>
            </w:tcBorders>
            <w:shd w:val="clear" w:color="auto" w:fill="auto"/>
            <w:noWrap/>
            <w:vAlign w:val="center"/>
          </w:tcPr>
          <w:p w14:paraId="2DAE7EE9" w14:textId="77777777" w:rsidR="0065555D" w:rsidRPr="003463D2" w:rsidRDefault="0065555D" w:rsidP="007049D5">
            <w:pPr>
              <w:spacing w:line="240" w:lineRule="auto"/>
              <w:jc w:val="center"/>
              <w:rPr>
                <w:sz w:val="18"/>
                <w:szCs w:val="18"/>
              </w:rPr>
            </w:pPr>
            <w:r w:rsidRPr="003463D2">
              <w:rPr>
                <w:sz w:val="18"/>
                <w:szCs w:val="18"/>
              </w:rPr>
              <w:t>0.9861</w:t>
            </w:r>
          </w:p>
        </w:tc>
        <w:tc>
          <w:tcPr>
            <w:tcW w:w="0" w:type="auto"/>
            <w:tcBorders>
              <w:top w:val="nil"/>
              <w:left w:val="nil"/>
              <w:bottom w:val="nil"/>
              <w:right w:val="nil"/>
            </w:tcBorders>
            <w:shd w:val="clear" w:color="auto" w:fill="auto"/>
            <w:noWrap/>
            <w:vAlign w:val="center"/>
          </w:tcPr>
          <w:p w14:paraId="1A478C96" w14:textId="77777777" w:rsidR="0065555D" w:rsidRPr="003463D2" w:rsidRDefault="0065555D" w:rsidP="007049D5">
            <w:pPr>
              <w:spacing w:line="240" w:lineRule="auto"/>
              <w:jc w:val="center"/>
              <w:rPr>
                <w:sz w:val="18"/>
                <w:szCs w:val="18"/>
              </w:rPr>
            </w:pPr>
            <w:r w:rsidRPr="003463D2">
              <w:rPr>
                <w:sz w:val="18"/>
                <w:szCs w:val="18"/>
              </w:rPr>
              <w:t>(-7.2084)</w:t>
            </w:r>
          </w:p>
        </w:tc>
        <w:tc>
          <w:tcPr>
            <w:tcW w:w="0" w:type="auto"/>
            <w:tcBorders>
              <w:top w:val="nil"/>
              <w:left w:val="nil"/>
              <w:bottom w:val="nil"/>
              <w:right w:val="nil"/>
            </w:tcBorders>
            <w:vAlign w:val="center"/>
          </w:tcPr>
          <w:p w14:paraId="45E90519"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vAlign w:val="center"/>
          </w:tcPr>
          <w:p w14:paraId="1775692D"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vAlign w:val="center"/>
          </w:tcPr>
          <w:p w14:paraId="0E5095B4"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448BD044"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42C18B2F"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160552AF"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6541B76C"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25269EC0"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55A4F088" w14:textId="77777777" w:rsidR="0065555D" w:rsidRPr="003463D2" w:rsidRDefault="0065555D" w:rsidP="007049D5">
            <w:pPr>
              <w:spacing w:line="240" w:lineRule="auto"/>
              <w:jc w:val="center"/>
              <w:rPr>
                <w:sz w:val="18"/>
                <w:szCs w:val="18"/>
              </w:rPr>
            </w:pPr>
          </w:p>
        </w:tc>
      </w:tr>
      <w:tr w:rsidR="0065555D" w:rsidRPr="003463D2" w14:paraId="2F3BD070" w14:textId="77777777" w:rsidTr="007049D5">
        <w:trPr>
          <w:trHeight w:val="264"/>
          <w:jc w:val="center"/>
        </w:trPr>
        <w:tc>
          <w:tcPr>
            <w:tcW w:w="3244" w:type="dxa"/>
            <w:tcBorders>
              <w:top w:val="nil"/>
              <w:left w:val="nil"/>
              <w:bottom w:val="nil"/>
              <w:right w:val="nil"/>
            </w:tcBorders>
            <w:shd w:val="clear" w:color="auto" w:fill="auto"/>
            <w:noWrap/>
            <w:vAlign w:val="center"/>
          </w:tcPr>
          <w:p w14:paraId="7CE53027" w14:textId="77777777" w:rsidR="0065555D" w:rsidRPr="003463D2" w:rsidRDefault="0065555D" w:rsidP="007049D5">
            <w:pPr>
              <w:spacing w:line="240" w:lineRule="auto"/>
              <w:jc w:val="left"/>
              <w:rPr>
                <w:rFonts w:eastAsia="MS Mincho" w:cs="Times New Roman"/>
                <w:sz w:val="18"/>
                <w:szCs w:val="18"/>
              </w:rPr>
            </w:pPr>
            <w:r w:rsidRPr="003463D2">
              <w:rPr>
                <w:rFonts w:eastAsia="MS Mincho" w:cs="Times New Roman"/>
                <w:sz w:val="18"/>
                <w:szCs w:val="18"/>
              </w:rPr>
              <w:t>(L1%)</w:t>
            </w:r>
            <w:r w:rsidRPr="003463D2">
              <w:rPr>
                <w:rFonts w:eastAsia="MS Mincho" w:cs="Times New Roman"/>
                <w:sz w:val="18"/>
                <w:szCs w:val="18"/>
                <w:vertAlign w:val="superscript"/>
              </w:rPr>
              <w:t>2</w:t>
            </w:r>
            <w:r w:rsidRPr="003463D2">
              <w:rPr>
                <w:rFonts w:eastAsia="MS Mincho" w:cs="Times New Roman"/>
                <w:sz w:val="18"/>
                <w:szCs w:val="18"/>
              </w:rPr>
              <w:t>/100</w:t>
            </w:r>
          </w:p>
        </w:tc>
        <w:tc>
          <w:tcPr>
            <w:tcW w:w="0" w:type="auto"/>
            <w:tcBorders>
              <w:top w:val="nil"/>
              <w:left w:val="nil"/>
              <w:bottom w:val="nil"/>
              <w:right w:val="nil"/>
            </w:tcBorders>
            <w:shd w:val="clear" w:color="auto" w:fill="auto"/>
            <w:noWrap/>
            <w:vAlign w:val="center"/>
          </w:tcPr>
          <w:p w14:paraId="7F754692"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5121395D"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02A2750A"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vAlign w:val="center"/>
          </w:tcPr>
          <w:p w14:paraId="2D70A25A" w14:textId="77777777" w:rsidR="0065555D" w:rsidRPr="003463D2" w:rsidRDefault="0065555D" w:rsidP="007049D5">
            <w:pPr>
              <w:spacing w:line="240" w:lineRule="auto"/>
              <w:jc w:val="center"/>
              <w:rPr>
                <w:sz w:val="18"/>
                <w:szCs w:val="18"/>
              </w:rPr>
            </w:pPr>
            <w:r w:rsidRPr="003463D2">
              <w:rPr>
                <w:sz w:val="18"/>
                <w:szCs w:val="18"/>
              </w:rPr>
              <w:t>-0.0130</w:t>
            </w:r>
          </w:p>
        </w:tc>
        <w:tc>
          <w:tcPr>
            <w:tcW w:w="0" w:type="auto"/>
            <w:tcBorders>
              <w:top w:val="nil"/>
              <w:left w:val="nil"/>
              <w:bottom w:val="nil"/>
              <w:right w:val="nil"/>
            </w:tcBorders>
            <w:vAlign w:val="center"/>
          </w:tcPr>
          <w:p w14:paraId="5511267F" w14:textId="77777777" w:rsidR="0065555D" w:rsidRPr="003463D2" w:rsidRDefault="0065555D" w:rsidP="007049D5">
            <w:pPr>
              <w:spacing w:line="240" w:lineRule="auto"/>
              <w:jc w:val="center"/>
              <w:rPr>
                <w:sz w:val="18"/>
                <w:szCs w:val="18"/>
              </w:rPr>
            </w:pPr>
            <w:r w:rsidRPr="003463D2">
              <w:rPr>
                <w:sz w:val="18"/>
                <w:szCs w:val="18"/>
              </w:rPr>
              <w:t>0.9871</w:t>
            </w:r>
          </w:p>
        </w:tc>
        <w:tc>
          <w:tcPr>
            <w:tcW w:w="0" w:type="auto"/>
            <w:tcBorders>
              <w:top w:val="nil"/>
              <w:left w:val="nil"/>
              <w:bottom w:val="nil"/>
              <w:right w:val="nil"/>
            </w:tcBorders>
            <w:vAlign w:val="center"/>
          </w:tcPr>
          <w:p w14:paraId="0DFEB1C7" w14:textId="77777777" w:rsidR="0065555D" w:rsidRPr="003463D2" w:rsidRDefault="0065555D" w:rsidP="007049D5">
            <w:pPr>
              <w:spacing w:line="240" w:lineRule="auto"/>
              <w:jc w:val="center"/>
              <w:rPr>
                <w:sz w:val="18"/>
                <w:szCs w:val="18"/>
              </w:rPr>
            </w:pPr>
            <w:r w:rsidRPr="003463D2">
              <w:rPr>
                <w:sz w:val="18"/>
                <w:szCs w:val="18"/>
              </w:rPr>
              <w:t>(-7.5321)</w:t>
            </w:r>
          </w:p>
        </w:tc>
        <w:tc>
          <w:tcPr>
            <w:tcW w:w="0" w:type="auto"/>
            <w:tcBorders>
              <w:top w:val="nil"/>
              <w:left w:val="nil"/>
              <w:bottom w:val="nil"/>
              <w:right w:val="nil"/>
            </w:tcBorders>
            <w:shd w:val="clear" w:color="auto" w:fill="auto"/>
            <w:noWrap/>
            <w:vAlign w:val="center"/>
          </w:tcPr>
          <w:p w14:paraId="7EF6D863"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5ED8378A"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27D7806D"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1166A087"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29292719"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2ACDAB92" w14:textId="77777777" w:rsidR="0065555D" w:rsidRPr="003463D2" w:rsidRDefault="0065555D" w:rsidP="007049D5">
            <w:pPr>
              <w:spacing w:line="240" w:lineRule="auto"/>
              <w:jc w:val="center"/>
              <w:rPr>
                <w:sz w:val="18"/>
                <w:szCs w:val="18"/>
              </w:rPr>
            </w:pPr>
          </w:p>
        </w:tc>
      </w:tr>
      <w:tr w:rsidR="0065555D" w:rsidRPr="003463D2" w14:paraId="46C58716" w14:textId="77777777" w:rsidTr="007049D5">
        <w:trPr>
          <w:trHeight w:val="264"/>
          <w:jc w:val="center"/>
        </w:trPr>
        <w:tc>
          <w:tcPr>
            <w:tcW w:w="3244" w:type="dxa"/>
            <w:tcBorders>
              <w:top w:val="nil"/>
              <w:left w:val="nil"/>
              <w:bottom w:val="nil"/>
              <w:right w:val="nil"/>
            </w:tcBorders>
            <w:shd w:val="clear" w:color="auto" w:fill="auto"/>
            <w:noWrap/>
            <w:vAlign w:val="center"/>
            <w:hideMark/>
          </w:tcPr>
          <w:p w14:paraId="24B82EB5" w14:textId="77777777" w:rsidR="0065555D" w:rsidRPr="003463D2" w:rsidRDefault="0065555D" w:rsidP="007049D5">
            <w:pPr>
              <w:spacing w:after="0" w:line="240" w:lineRule="auto"/>
              <w:jc w:val="left"/>
              <w:rPr>
                <w:rFonts w:eastAsia="Times New Roman" w:cs="Times New Roman"/>
                <w:color w:val="000000"/>
                <w:sz w:val="18"/>
                <w:szCs w:val="18"/>
              </w:rPr>
            </w:pPr>
            <w:r w:rsidRPr="003463D2">
              <w:rPr>
                <w:rFonts w:eastAsia="Times New Roman" w:cs="Times New Roman"/>
                <w:color w:val="000000"/>
                <w:sz w:val="18"/>
                <w:szCs w:val="18"/>
              </w:rPr>
              <w:t>D(L1 Category 1)</w:t>
            </w:r>
          </w:p>
        </w:tc>
        <w:tc>
          <w:tcPr>
            <w:tcW w:w="0" w:type="auto"/>
            <w:tcBorders>
              <w:top w:val="nil"/>
              <w:left w:val="nil"/>
              <w:bottom w:val="nil"/>
              <w:right w:val="nil"/>
            </w:tcBorders>
            <w:shd w:val="clear" w:color="auto" w:fill="auto"/>
            <w:noWrap/>
            <w:vAlign w:val="center"/>
          </w:tcPr>
          <w:p w14:paraId="48E49D4F"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0573CB73"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4650B5E5"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vAlign w:val="center"/>
          </w:tcPr>
          <w:p w14:paraId="215EF819"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vAlign w:val="center"/>
          </w:tcPr>
          <w:p w14:paraId="53608BC1"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vAlign w:val="center"/>
          </w:tcPr>
          <w:p w14:paraId="39DE5F8D"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23048867" w14:textId="77777777" w:rsidR="0065555D" w:rsidRPr="003463D2" w:rsidRDefault="0065555D" w:rsidP="007049D5">
            <w:pPr>
              <w:spacing w:line="240" w:lineRule="auto"/>
              <w:jc w:val="center"/>
              <w:rPr>
                <w:sz w:val="18"/>
                <w:szCs w:val="18"/>
              </w:rPr>
            </w:pPr>
            <w:r w:rsidRPr="003463D2">
              <w:rPr>
                <w:sz w:val="18"/>
                <w:szCs w:val="18"/>
              </w:rPr>
              <w:t>1.2940</w:t>
            </w:r>
          </w:p>
        </w:tc>
        <w:tc>
          <w:tcPr>
            <w:tcW w:w="0" w:type="auto"/>
            <w:tcBorders>
              <w:top w:val="nil"/>
              <w:left w:val="nil"/>
              <w:bottom w:val="nil"/>
              <w:right w:val="nil"/>
            </w:tcBorders>
            <w:shd w:val="clear" w:color="auto" w:fill="auto"/>
            <w:noWrap/>
            <w:vAlign w:val="center"/>
          </w:tcPr>
          <w:p w14:paraId="7FF1ABA2" w14:textId="77777777" w:rsidR="0065555D" w:rsidRPr="003463D2" w:rsidRDefault="0065555D" w:rsidP="007049D5">
            <w:pPr>
              <w:spacing w:line="240" w:lineRule="auto"/>
              <w:jc w:val="center"/>
              <w:rPr>
                <w:sz w:val="18"/>
                <w:szCs w:val="18"/>
              </w:rPr>
            </w:pPr>
            <w:r w:rsidRPr="003463D2">
              <w:rPr>
                <w:sz w:val="18"/>
                <w:szCs w:val="18"/>
              </w:rPr>
              <w:t>3.6472</w:t>
            </w:r>
          </w:p>
        </w:tc>
        <w:tc>
          <w:tcPr>
            <w:tcW w:w="0" w:type="auto"/>
            <w:tcBorders>
              <w:top w:val="nil"/>
              <w:left w:val="nil"/>
              <w:bottom w:val="nil"/>
              <w:right w:val="nil"/>
            </w:tcBorders>
            <w:shd w:val="clear" w:color="auto" w:fill="auto"/>
            <w:noWrap/>
            <w:vAlign w:val="center"/>
          </w:tcPr>
          <w:p w14:paraId="75526C58" w14:textId="77777777" w:rsidR="0065555D" w:rsidRPr="003463D2" w:rsidRDefault="0065555D" w:rsidP="007049D5">
            <w:pPr>
              <w:spacing w:line="240" w:lineRule="auto"/>
              <w:jc w:val="center"/>
              <w:rPr>
                <w:sz w:val="18"/>
                <w:szCs w:val="18"/>
              </w:rPr>
            </w:pPr>
            <w:r w:rsidRPr="003463D2">
              <w:rPr>
                <w:sz w:val="18"/>
                <w:szCs w:val="18"/>
              </w:rPr>
              <w:t>(6.6998)</w:t>
            </w:r>
          </w:p>
        </w:tc>
        <w:tc>
          <w:tcPr>
            <w:tcW w:w="0" w:type="auto"/>
            <w:tcBorders>
              <w:top w:val="nil"/>
              <w:left w:val="nil"/>
              <w:bottom w:val="nil"/>
              <w:right w:val="nil"/>
            </w:tcBorders>
            <w:shd w:val="clear" w:color="auto" w:fill="auto"/>
            <w:noWrap/>
            <w:vAlign w:val="center"/>
          </w:tcPr>
          <w:p w14:paraId="76136DF7" w14:textId="77777777" w:rsidR="0065555D" w:rsidRPr="003463D2" w:rsidRDefault="0065555D" w:rsidP="007049D5">
            <w:pPr>
              <w:spacing w:line="240" w:lineRule="auto"/>
              <w:jc w:val="center"/>
              <w:rPr>
                <w:sz w:val="18"/>
                <w:szCs w:val="18"/>
              </w:rPr>
            </w:pPr>
            <w:r w:rsidRPr="003463D2">
              <w:rPr>
                <w:sz w:val="18"/>
                <w:szCs w:val="18"/>
              </w:rPr>
              <w:t>0.9072</w:t>
            </w:r>
          </w:p>
        </w:tc>
        <w:tc>
          <w:tcPr>
            <w:tcW w:w="0" w:type="auto"/>
            <w:tcBorders>
              <w:top w:val="nil"/>
              <w:left w:val="nil"/>
              <w:bottom w:val="nil"/>
              <w:right w:val="nil"/>
            </w:tcBorders>
            <w:shd w:val="clear" w:color="auto" w:fill="auto"/>
            <w:noWrap/>
            <w:vAlign w:val="center"/>
          </w:tcPr>
          <w:p w14:paraId="626EA2A0" w14:textId="77777777" w:rsidR="0065555D" w:rsidRPr="003463D2" w:rsidRDefault="0065555D" w:rsidP="007049D5">
            <w:pPr>
              <w:spacing w:line="240" w:lineRule="auto"/>
              <w:jc w:val="center"/>
              <w:rPr>
                <w:sz w:val="18"/>
                <w:szCs w:val="18"/>
              </w:rPr>
            </w:pPr>
            <w:r w:rsidRPr="003463D2">
              <w:rPr>
                <w:sz w:val="18"/>
                <w:szCs w:val="18"/>
              </w:rPr>
              <w:t>2.4774</w:t>
            </w:r>
          </w:p>
        </w:tc>
        <w:tc>
          <w:tcPr>
            <w:tcW w:w="0" w:type="auto"/>
            <w:tcBorders>
              <w:top w:val="nil"/>
              <w:left w:val="nil"/>
              <w:bottom w:val="nil"/>
              <w:right w:val="nil"/>
            </w:tcBorders>
            <w:shd w:val="clear" w:color="auto" w:fill="auto"/>
            <w:noWrap/>
            <w:vAlign w:val="center"/>
          </w:tcPr>
          <w:p w14:paraId="4961C4BE" w14:textId="77777777" w:rsidR="0065555D" w:rsidRPr="003463D2" w:rsidRDefault="0065555D" w:rsidP="007049D5">
            <w:pPr>
              <w:spacing w:line="240" w:lineRule="auto"/>
              <w:jc w:val="center"/>
              <w:rPr>
                <w:sz w:val="18"/>
                <w:szCs w:val="18"/>
              </w:rPr>
            </w:pPr>
            <w:r w:rsidRPr="003463D2">
              <w:rPr>
                <w:sz w:val="18"/>
                <w:szCs w:val="18"/>
              </w:rPr>
              <w:t>(3.4635)</w:t>
            </w:r>
          </w:p>
        </w:tc>
      </w:tr>
      <w:tr w:rsidR="0065555D" w:rsidRPr="003463D2" w14:paraId="6F7C04E4" w14:textId="77777777" w:rsidTr="007049D5">
        <w:trPr>
          <w:trHeight w:val="264"/>
          <w:jc w:val="center"/>
        </w:trPr>
        <w:tc>
          <w:tcPr>
            <w:tcW w:w="3244" w:type="dxa"/>
            <w:tcBorders>
              <w:top w:val="nil"/>
              <w:left w:val="nil"/>
              <w:bottom w:val="nil"/>
              <w:right w:val="nil"/>
            </w:tcBorders>
            <w:shd w:val="clear" w:color="auto" w:fill="auto"/>
            <w:noWrap/>
            <w:vAlign w:val="center"/>
            <w:hideMark/>
          </w:tcPr>
          <w:p w14:paraId="22DC3D92" w14:textId="77777777" w:rsidR="0065555D" w:rsidRPr="003463D2" w:rsidRDefault="0065555D" w:rsidP="007049D5">
            <w:pPr>
              <w:spacing w:after="0" w:line="240" w:lineRule="auto"/>
              <w:jc w:val="left"/>
              <w:rPr>
                <w:rFonts w:eastAsia="Times New Roman" w:cs="Times New Roman"/>
                <w:color w:val="000000"/>
                <w:sz w:val="18"/>
                <w:szCs w:val="18"/>
              </w:rPr>
            </w:pPr>
            <w:r w:rsidRPr="003463D2">
              <w:rPr>
                <w:rFonts w:eastAsia="Times New Roman" w:cs="Times New Roman"/>
                <w:color w:val="000000"/>
                <w:sz w:val="18"/>
                <w:szCs w:val="18"/>
              </w:rPr>
              <w:t>D(L1 Category 1) × D(L1 Rollover)</w:t>
            </w:r>
          </w:p>
        </w:tc>
        <w:tc>
          <w:tcPr>
            <w:tcW w:w="0" w:type="auto"/>
            <w:tcBorders>
              <w:top w:val="nil"/>
              <w:left w:val="nil"/>
              <w:bottom w:val="nil"/>
              <w:right w:val="nil"/>
            </w:tcBorders>
            <w:shd w:val="clear" w:color="auto" w:fill="auto"/>
            <w:noWrap/>
            <w:vAlign w:val="center"/>
          </w:tcPr>
          <w:p w14:paraId="7632D710"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17717687"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76DCDA4D"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vAlign w:val="center"/>
          </w:tcPr>
          <w:p w14:paraId="11AFC432"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vAlign w:val="center"/>
          </w:tcPr>
          <w:p w14:paraId="1F066E55"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vAlign w:val="center"/>
          </w:tcPr>
          <w:p w14:paraId="54C3873F"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6C2869F4"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6575AF52"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6ED3DC64"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50BACEFB" w14:textId="77777777" w:rsidR="0065555D" w:rsidRPr="003463D2" w:rsidRDefault="0065555D" w:rsidP="007049D5">
            <w:pPr>
              <w:spacing w:line="240" w:lineRule="auto"/>
              <w:jc w:val="center"/>
              <w:rPr>
                <w:sz w:val="18"/>
                <w:szCs w:val="18"/>
              </w:rPr>
            </w:pPr>
            <w:r w:rsidRPr="003463D2">
              <w:rPr>
                <w:sz w:val="18"/>
                <w:szCs w:val="18"/>
              </w:rPr>
              <w:t>0.6449</w:t>
            </w:r>
          </w:p>
        </w:tc>
        <w:tc>
          <w:tcPr>
            <w:tcW w:w="0" w:type="auto"/>
            <w:tcBorders>
              <w:top w:val="nil"/>
              <w:left w:val="nil"/>
              <w:bottom w:val="nil"/>
              <w:right w:val="nil"/>
            </w:tcBorders>
            <w:shd w:val="clear" w:color="auto" w:fill="auto"/>
            <w:noWrap/>
            <w:vAlign w:val="center"/>
          </w:tcPr>
          <w:p w14:paraId="29A34754" w14:textId="77777777" w:rsidR="0065555D" w:rsidRPr="003463D2" w:rsidRDefault="0065555D" w:rsidP="007049D5">
            <w:pPr>
              <w:spacing w:line="240" w:lineRule="auto"/>
              <w:jc w:val="center"/>
              <w:rPr>
                <w:sz w:val="18"/>
                <w:szCs w:val="18"/>
              </w:rPr>
            </w:pPr>
            <w:r w:rsidRPr="003463D2">
              <w:rPr>
                <w:sz w:val="18"/>
                <w:szCs w:val="18"/>
              </w:rPr>
              <w:t>1.9058</w:t>
            </w:r>
          </w:p>
        </w:tc>
        <w:tc>
          <w:tcPr>
            <w:tcW w:w="0" w:type="auto"/>
            <w:tcBorders>
              <w:top w:val="nil"/>
              <w:left w:val="nil"/>
              <w:bottom w:val="nil"/>
              <w:right w:val="nil"/>
            </w:tcBorders>
            <w:shd w:val="clear" w:color="auto" w:fill="auto"/>
            <w:noWrap/>
            <w:vAlign w:val="center"/>
          </w:tcPr>
          <w:p w14:paraId="77F43AAD" w14:textId="77777777" w:rsidR="0065555D" w:rsidRPr="003463D2" w:rsidRDefault="0065555D" w:rsidP="007049D5">
            <w:pPr>
              <w:spacing w:line="240" w:lineRule="auto"/>
              <w:jc w:val="center"/>
              <w:rPr>
                <w:sz w:val="18"/>
                <w:szCs w:val="18"/>
              </w:rPr>
            </w:pPr>
            <w:r w:rsidRPr="003463D2">
              <w:rPr>
                <w:sz w:val="18"/>
                <w:szCs w:val="18"/>
              </w:rPr>
              <w:t>(3.9465)</w:t>
            </w:r>
          </w:p>
        </w:tc>
      </w:tr>
      <w:tr w:rsidR="0065555D" w:rsidRPr="003463D2" w14:paraId="37206F3D" w14:textId="77777777" w:rsidTr="007049D5">
        <w:trPr>
          <w:trHeight w:val="264"/>
          <w:jc w:val="center"/>
        </w:trPr>
        <w:tc>
          <w:tcPr>
            <w:tcW w:w="3244" w:type="dxa"/>
            <w:tcBorders>
              <w:top w:val="nil"/>
              <w:left w:val="nil"/>
              <w:bottom w:val="nil"/>
              <w:right w:val="nil"/>
            </w:tcBorders>
            <w:shd w:val="clear" w:color="auto" w:fill="auto"/>
            <w:noWrap/>
            <w:vAlign w:val="center"/>
            <w:hideMark/>
          </w:tcPr>
          <w:p w14:paraId="03D49D63" w14:textId="77777777" w:rsidR="0065555D" w:rsidRPr="003463D2" w:rsidRDefault="0065555D" w:rsidP="007049D5">
            <w:pPr>
              <w:spacing w:after="0" w:line="240" w:lineRule="auto"/>
              <w:jc w:val="left"/>
              <w:rPr>
                <w:rFonts w:eastAsia="Times New Roman" w:cs="Times New Roman"/>
                <w:color w:val="000000"/>
                <w:sz w:val="18"/>
                <w:szCs w:val="18"/>
              </w:rPr>
            </w:pPr>
            <w:r w:rsidRPr="003463D2">
              <w:rPr>
                <w:rFonts w:eastAsia="Times New Roman" w:cs="Times New Roman"/>
                <w:color w:val="000000"/>
                <w:sz w:val="18"/>
                <w:szCs w:val="18"/>
              </w:rPr>
              <w:t>D(L1 Category 2)</w:t>
            </w:r>
          </w:p>
        </w:tc>
        <w:tc>
          <w:tcPr>
            <w:tcW w:w="0" w:type="auto"/>
            <w:tcBorders>
              <w:top w:val="nil"/>
              <w:left w:val="nil"/>
              <w:bottom w:val="nil"/>
              <w:right w:val="nil"/>
            </w:tcBorders>
            <w:shd w:val="clear" w:color="auto" w:fill="auto"/>
            <w:noWrap/>
            <w:vAlign w:val="center"/>
          </w:tcPr>
          <w:p w14:paraId="0EA68A80"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261C186F"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1EE21C30"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vAlign w:val="center"/>
          </w:tcPr>
          <w:p w14:paraId="63602A50"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vAlign w:val="center"/>
          </w:tcPr>
          <w:p w14:paraId="7B4426D6"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vAlign w:val="center"/>
          </w:tcPr>
          <w:p w14:paraId="0092CF8A"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1B3094E9" w14:textId="77777777" w:rsidR="0065555D" w:rsidRPr="003463D2" w:rsidRDefault="0065555D" w:rsidP="007049D5">
            <w:pPr>
              <w:spacing w:line="240" w:lineRule="auto"/>
              <w:jc w:val="center"/>
              <w:rPr>
                <w:sz w:val="18"/>
                <w:szCs w:val="18"/>
              </w:rPr>
            </w:pPr>
            <w:r w:rsidRPr="003463D2">
              <w:rPr>
                <w:sz w:val="18"/>
                <w:szCs w:val="18"/>
              </w:rPr>
              <w:t>1.1649</w:t>
            </w:r>
          </w:p>
        </w:tc>
        <w:tc>
          <w:tcPr>
            <w:tcW w:w="0" w:type="auto"/>
            <w:tcBorders>
              <w:top w:val="nil"/>
              <w:left w:val="nil"/>
              <w:bottom w:val="nil"/>
              <w:right w:val="nil"/>
            </w:tcBorders>
            <w:shd w:val="clear" w:color="auto" w:fill="auto"/>
            <w:noWrap/>
            <w:vAlign w:val="center"/>
          </w:tcPr>
          <w:p w14:paraId="31CD75D4" w14:textId="77777777" w:rsidR="0065555D" w:rsidRPr="003463D2" w:rsidRDefault="0065555D" w:rsidP="007049D5">
            <w:pPr>
              <w:spacing w:line="240" w:lineRule="auto"/>
              <w:jc w:val="center"/>
              <w:rPr>
                <w:sz w:val="18"/>
                <w:szCs w:val="18"/>
              </w:rPr>
            </w:pPr>
            <w:r w:rsidRPr="003463D2">
              <w:rPr>
                <w:sz w:val="18"/>
                <w:szCs w:val="18"/>
              </w:rPr>
              <w:t>3.2056</w:t>
            </w:r>
          </w:p>
        </w:tc>
        <w:tc>
          <w:tcPr>
            <w:tcW w:w="0" w:type="auto"/>
            <w:tcBorders>
              <w:top w:val="nil"/>
              <w:left w:val="nil"/>
              <w:bottom w:val="nil"/>
              <w:right w:val="nil"/>
            </w:tcBorders>
            <w:shd w:val="clear" w:color="auto" w:fill="auto"/>
            <w:noWrap/>
            <w:vAlign w:val="center"/>
          </w:tcPr>
          <w:p w14:paraId="322E1A6C" w14:textId="77777777" w:rsidR="0065555D" w:rsidRPr="003463D2" w:rsidRDefault="0065555D" w:rsidP="007049D5">
            <w:pPr>
              <w:spacing w:line="240" w:lineRule="auto"/>
              <w:jc w:val="center"/>
              <w:rPr>
                <w:sz w:val="18"/>
                <w:szCs w:val="18"/>
              </w:rPr>
            </w:pPr>
            <w:r w:rsidRPr="003463D2">
              <w:rPr>
                <w:sz w:val="18"/>
                <w:szCs w:val="18"/>
              </w:rPr>
              <w:t>(7.1985)</w:t>
            </w:r>
          </w:p>
        </w:tc>
        <w:tc>
          <w:tcPr>
            <w:tcW w:w="0" w:type="auto"/>
            <w:tcBorders>
              <w:top w:val="nil"/>
              <w:left w:val="nil"/>
              <w:bottom w:val="nil"/>
              <w:right w:val="nil"/>
            </w:tcBorders>
            <w:shd w:val="clear" w:color="auto" w:fill="auto"/>
            <w:noWrap/>
            <w:vAlign w:val="center"/>
          </w:tcPr>
          <w:p w14:paraId="2DB87F9C" w14:textId="77777777" w:rsidR="0065555D" w:rsidRPr="003463D2" w:rsidRDefault="0065555D" w:rsidP="007049D5">
            <w:pPr>
              <w:spacing w:line="240" w:lineRule="auto"/>
              <w:jc w:val="center"/>
              <w:rPr>
                <w:sz w:val="18"/>
                <w:szCs w:val="18"/>
              </w:rPr>
            </w:pPr>
            <w:r w:rsidRPr="003463D2">
              <w:rPr>
                <w:sz w:val="18"/>
                <w:szCs w:val="18"/>
              </w:rPr>
              <w:t>1.0780</w:t>
            </w:r>
          </w:p>
        </w:tc>
        <w:tc>
          <w:tcPr>
            <w:tcW w:w="0" w:type="auto"/>
            <w:tcBorders>
              <w:top w:val="nil"/>
              <w:left w:val="nil"/>
              <w:bottom w:val="nil"/>
              <w:right w:val="nil"/>
            </w:tcBorders>
            <w:shd w:val="clear" w:color="auto" w:fill="auto"/>
            <w:noWrap/>
            <w:vAlign w:val="center"/>
          </w:tcPr>
          <w:p w14:paraId="1A0441C1" w14:textId="77777777" w:rsidR="0065555D" w:rsidRPr="003463D2" w:rsidRDefault="0065555D" w:rsidP="007049D5">
            <w:pPr>
              <w:spacing w:line="240" w:lineRule="auto"/>
              <w:jc w:val="center"/>
              <w:rPr>
                <w:sz w:val="18"/>
                <w:szCs w:val="18"/>
              </w:rPr>
            </w:pPr>
            <w:r w:rsidRPr="003463D2">
              <w:rPr>
                <w:sz w:val="18"/>
                <w:szCs w:val="18"/>
              </w:rPr>
              <w:t>2.9387</w:t>
            </w:r>
          </w:p>
        </w:tc>
        <w:tc>
          <w:tcPr>
            <w:tcW w:w="0" w:type="auto"/>
            <w:tcBorders>
              <w:top w:val="nil"/>
              <w:left w:val="nil"/>
              <w:bottom w:val="nil"/>
              <w:right w:val="nil"/>
            </w:tcBorders>
            <w:shd w:val="clear" w:color="auto" w:fill="auto"/>
            <w:noWrap/>
            <w:vAlign w:val="center"/>
          </w:tcPr>
          <w:p w14:paraId="305B3C2E" w14:textId="77777777" w:rsidR="0065555D" w:rsidRPr="003463D2" w:rsidRDefault="0065555D" w:rsidP="007049D5">
            <w:pPr>
              <w:spacing w:line="240" w:lineRule="auto"/>
              <w:jc w:val="center"/>
              <w:rPr>
                <w:sz w:val="18"/>
                <w:szCs w:val="18"/>
              </w:rPr>
            </w:pPr>
            <w:r w:rsidRPr="003463D2">
              <w:rPr>
                <w:sz w:val="18"/>
                <w:szCs w:val="18"/>
              </w:rPr>
              <w:t>(4.7864)</w:t>
            </w:r>
          </w:p>
        </w:tc>
      </w:tr>
      <w:tr w:rsidR="0065555D" w:rsidRPr="003463D2" w14:paraId="18AA0B67" w14:textId="77777777" w:rsidTr="007049D5">
        <w:trPr>
          <w:trHeight w:val="264"/>
          <w:jc w:val="center"/>
        </w:trPr>
        <w:tc>
          <w:tcPr>
            <w:tcW w:w="3244" w:type="dxa"/>
            <w:tcBorders>
              <w:top w:val="nil"/>
              <w:left w:val="nil"/>
              <w:bottom w:val="nil"/>
              <w:right w:val="nil"/>
            </w:tcBorders>
            <w:shd w:val="clear" w:color="auto" w:fill="auto"/>
            <w:noWrap/>
            <w:vAlign w:val="center"/>
            <w:hideMark/>
          </w:tcPr>
          <w:p w14:paraId="72585408" w14:textId="77777777" w:rsidR="0065555D" w:rsidRPr="003463D2" w:rsidRDefault="0065555D" w:rsidP="007049D5">
            <w:pPr>
              <w:spacing w:after="0" w:line="240" w:lineRule="auto"/>
              <w:jc w:val="left"/>
              <w:rPr>
                <w:rFonts w:eastAsia="Times New Roman" w:cs="Times New Roman"/>
                <w:color w:val="000000"/>
                <w:sz w:val="18"/>
                <w:szCs w:val="18"/>
              </w:rPr>
            </w:pPr>
            <w:r w:rsidRPr="003463D2">
              <w:rPr>
                <w:rFonts w:eastAsia="Times New Roman" w:cs="Times New Roman"/>
                <w:color w:val="000000"/>
                <w:sz w:val="18"/>
                <w:szCs w:val="18"/>
              </w:rPr>
              <w:t>D(L1 Category 2) × D(L1 Rollover)</w:t>
            </w:r>
          </w:p>
        </w:tc>
        <w:tc>
          <w:tcPr>
            <w:tcW w:w="0" w:type="auto"/>
            <w:tcBorders>
              <w:top w:val="nil"/>
              <w:left w:val="nil"/>
              <w:bottom w:val="nil"/>
              <w:right w:val="nil"/>
            </w:tcBorders>
            <w:shd w:val="clear" w:color="auto" w:fill="auto"/>
            <w:noWrap/>
            <w:vAlign w:val="center"/>
          </w:tcPr>
          <w:p w14:paraId="419CA966"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321B7683"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629E4BDD"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vAlign w:val="center"/>
          </w:tcPr>
          <w:p w14:paraId="6DD15A0A"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vAlign w:val="center"/>
          </w:tcPr>
          <w:p w14:paraId="13781C09"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vAlign w:val="center"/>
          </w:tcPr>
          <w:p w14:paraId="01D8360D"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5E9E4DB6"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7A1839C6"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0E6D5F0A"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14E3AAB9" w14:textId="77777777" w:rsidR="0065555D" w:rsidRPr="003463D2" w:rsidRDefault="0065555D" w:rsidP="007049D5">
            <w:pPr>
              <w:spacing w:line="240" w:lineRule="auto"/>
              <w:jc w:val="center"/>
              <w:rPr>
                <w:sz w:val="18"/>
                <w:szCs w:val="18"/>
              </w:rPr>
            </w:pPr>
            <w:r w:rsidRPr="003463D2">
              <w:rPr>
                <w:sz w:val="18"/>
                <w:szCs w:val="18"/>
              </w:rPr>
              <w:t>0.3522</w:t>
            </w:r>
          </w:p>
        </w:tc>
        <w:tc>
          <w:tcPr>
            <w:tcW w:w="0" w:type="auto"/>
            <w:tcBorders>
              <w:top w:val="nil"/>
              <w:left w:val="nil"/>
              <w:bottom w:val="nil"/>
              <w:right w:val="nil"/>
            </w:tcBorders>
            <w:shd w:val="clear" w:color="auto" w:fill="auto"/>
            <w:noWrap/>
            <w:vAlign w:val="center"/>
          </w:tcPr>
          <w:p w14:paraId="7D19357F" w14:textId="77777777" w:rsidR="0065555D" w:rsidRPr="003463D2" w:rsidRDefault="0065555D" w:rsidP="007049D5">
            <w:pPr>
              <w:spacing w:line="240" w:lineRule="auto"/>
              <w:jc w:val="center"/>
              <w:rPr>
                <w:sz w:val="18"/>
                <w:szCs w:val="18"/>
              </w:rPr>
            </w:pPr>
            <w:r w:rsidRPr="003463D2">
              <w:rPr>
                <w:sz w:val="18"/>
                <w:szCs w:val="18"/>
              </w:rPr>
              <w:t>1.4222</w:t>
            </w:r>
          </w:p>
        </w:tc>
        <w:tc>
          <w:tcPr>
            <w:tcW w:w="0" w:type="auto"/>
            <w:tcBorders>
              <w:top w:val="nil"/>
              <w:left w:val="nil"/>
              <w:bottom w:val="nil"/>
              <w:right w:val="nil"/>
            </w:tcBorders>
            <w:shd w:val="clear" w:color="auto" w:fill="auto"/>
            <w:noWrap/>
            <w:vAlign w:val="center"/>
          </w:tcPr>
          <w:p w14:paraId="4B26557A" w14:textId="77777777" w:rsidR="0065555D" w:rsidRPr="003463D2" w:rsidRDefault="0065555D" w:rsidP="007049D5">
            <w:pPr>
              <w:spacing w:line="240" w:lineRule="auto"/>
              <w:jc w:val="center"/>
              <w:rPr>
                <w:sz w:val="18"/>
                <w:szCs w:val="18"/>
              </w:rPr>
            </w:pPr>
            <w:r w:rsidRPr="003463D2">
              <w:rPr>
                <w:sz w:val="18"/>
                <w:szCs w:val="18"/>
              </w:rPr>
              <w:t>(3.0703)</w:t>
            </w:r>
          </w:p>
        </w:tc>
      </w:tr>
      <w:tr w:rsidR="0065555D" w:rsidRPr="003463D2" w14:paraId="602E1F96" w14:textId="77777777" w:rsidTr="007049D5">
        <w:trPr>
          <w:trHeight w:val="264"/>
          <w:jc w:val="center"/>
        </w:trPr>
        <w:tc>
          <w:tcPr>
            <w:tcW w:w="3244" w:type="dxa"/>
            <w:tcBorders>
              <w:top w:val="nil"/>
              <w:left w:val="nil"/>
              <w:bottom w:val="nil"/>
              <w:right w:val="nil"/>
            </w:tcBorders>
            <w:shd w:val="clear" w:color="auto" w:fill="auto"/>
            <w:noWrap/>
            <w:vAlign w:val="center"/>
            <w:hideMark/>
          </w:tcPr>
          <w:p w14:paraId="4E843F57" w14:textId="77777777" w:rsidR="0065555D" w:rsidRPr="003463D2" w:rsidRDefault="0065555D" w:rsidP="007049D5">
            <w:pPr>
              <w:spacing w:after="0" w:line="240" w:lineRule="auto"/>
              <w:jc w:val="left"/>
              <w:rPr>
                <w:rFonts w:eastAsia="Times New Roman" w:cs="Times New Roman"/>
                <w:color w:val="000000"/>
                <w:sz w:val="18"/>
                <w:szCs w:val="18"/>
              </w:rPr>
            </w:pPr>
            <w:r w:rsidRPr="003463D2">
              <w:rPr>
                <w:rFonts w:eastAsia="Times New Roman" w:cs="Times New Roman"/>
                <w:color w:val="000000"/>
                <w:sz w:val="18"/>
                <w:szCs w:val="18"/>
              </w:rPr>
              <w:t>D(L1 Category 3)</w:t>
            </w:r>
          </w:p>
        </w:tc>
        <w:tc>
          <w:tcPr>
            <w:tcW w:w="0" w:type="auto"/>
            <w:tcBorders>
              <w:top w:val="nil"/>
              <w:left w:val="nil"/>
              <w:bottom w:val="nil"/>
              <w:right w:val="nil"/>
            </w:tcBorders>
            <w:shd w:val="clear" w:color="auto" w:fill="auto"/>
            <w:noWrap/>
            <w:vAlign w:val="center"/>
          </w:tcPr>
          <w:p w14:paraId="427ECD0A"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158CC9B5"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5522ECC2"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vAlign w:val="center"/>
          </w:tcPr>
          <w:p w14:paraId="37E1BDAC"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vAlign w:val="center"/>
          </w:tcPr>
          <w:p w14:paraId="6A36383D"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vAlign w:val="center"/>
          </w:tcPr>
          <w:p w14:paraId="3D186450"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6BCD16F8" w14:textId="77777777" w:rsidR="0065555D" w:rsidRPr="003463D2" w:rsidRDefault="0065555D" w:rsidP="007049D5">
            <w:pPr>
              <w:spacing w:line="240" w:lineRule="auto"/>
              <w:jc w:val="center"/>
              <w:rPr>
                <w:sz w:val="18"/>
                <w:szCs w:val="18"/>
              </w:rPr>
            </w:pPr>
            <w:r w:rsidRPr="003463D2">
              <w:rPr>
                <w:sz w:val="18"/>
                <w:szCs w:val="18"/>
              </w:rPr>
              <w:t>1.0884</w:t>
            </w:r>
          </w:p>
        </w:tc>
        <w:tc>
          <w:tcPr>
            <w:tcW w:w="0" w:type="auto"/>
            <w:tcBorders>
              <w:top w:val="nil"/>
              <w:left w:val="nil"/>
              <w:bottom w:val="nil"/>
              <w:right w:val="nil"/>
            </w:tcBorders>
            <w:shd w:val="clear" w:color="auto" w:fill="auto"/>
            <w:noWrap/>
            <w:vAlign w:val="center"/>
          </w:tcPr>
          <w:p w14:paraId="35F713FE" w14:textId="77777777" w:rsidR="0065555D" w:rsidRPr="003463D2" w:rsidRDefault="0065555D" w:rsidP="007049D5">
            <w:pPr>
              <w:spacing w:line="240" w:lineRule="auto"/>
              <w:jc w:val="center"/>
              <w:rPr>
                <w:sz w:val="18"/>
                <w:szCs w:val="18"/>
              </w:rPr>
            </w:pPr>
            <w:r w:rsidRPr="003463D2">
              <w:rPr>
                <w:sz w:val="18"/>
                <w:szCs w:val="18"/>
              </w:rPr>
              <w:t>2.9696</w:t>
            </w:r>
          </w:p>
        </w:tc>
        <w:tc>
          <w:tcPr>
            <w:tcW w:w="0" w:type="auto"/>
            <w:tcBorders>
              <w:top w:val="nil"/>
              <w:left w:val="nil"/>
              <w:bottom w:val="nil"/>
              <w:right w:val="nil"/>
            </w:tcBorders>
            <w:shd w:val="clear" w:color="auto" w:fill="auto"/>
            <w:noWrap/>
            <w:vAlign w:val="center"/>
          </w:tcPr>
          <w:p w14:paraId="62C6C054" w14:textId="77777777" w:rsidR="0065555D" w:rsidRPr="003463D2" w:rsidRDefault="0065555D" w:rsidP="007049D5">
            <w:pPr>
              <w:spacing w:line="240" w:lineRule="auto"/>
              <w:jc w:val="center"/>
              <w:rPr>
                <w:sz w:val="18"/>
                <w:szCs w:val="18"/>
              </w:rPr>
            </w:pPr>
            <w:r w:rsidRPr="003463D2">
              <w:rPr>
                <w:sz w:val="18"/>
                <w:szCs w:val="18"/>
              </w:rPr>
              <w:t>(7.2564)</w:t>
            </w:r>
          </w:p>
        </w:tc>
        <w:tc>
          <w:tcPr>
            <w:tcW w:w="0" w:type="auto"/>
            <w:tcBorders>
              <w:top w:val="nil"/>
              <w:left w:val="nil"/>
              <w:bottom w:val="nil"/>
              <w:right w:val="nil"/>
            </w:tcBorders>
            <w:shd w:val="clear" w:color="auto" w:fill="auto"/>
            <w:noWrap/>
            <w:vAlign w:val="center"/>
          </w:tcPr>
          <w:p w14:paraId="7DCD342C" w14:textId="77777777" w:rsidR="0065555D" w:rsidRPr="003463D2" w:rsidRDefault="0065555D" w:rsidP="007049D5">
            <w:pPr>
              <w:spacing w:line="240" w:lineRule="auto"/>
              <w:jc w:val="center"/>
              <w:rPr>
                <w:sz w:val="18"/>
                <w:szCs w:val="18"/>
              </w:rPr>
            </w:pPr>
            <w:r w:rsidRPr="003463D2">
              <w:rPr>
                <w:sz w:val="18"/>
                <w:szCs w:val="18"/>
              </w:rPr>
              <w:t>1.0718</w:t>
            </w:r>
          </w:p>
        </w:tc>
        <w:tc>
          <w:tcPr>
            <w:tcW w:w="0" w:type="auto"/>
            <w:tcBorders>
              <w:top w:val="nil"/>
              <w:left w:val="nil"/>
              <w:bottom w:val="nil"/>
              <w:right w:val="nil"/>
            </w:tcBorders>
            <w:shd w:val="clear" w:color="auto" w:fill="auto"/>
            <w:noWrap/>
            <w:vAlign w:val="center"/>
          </w:tcPr>
          <w:p w14:paraId="44577E23" w14:textId="77777777" w:rsidR="0065555D" w:rsidRPr="003463D2" w:rsidRDefault="0065555D" w:rsidP="007049D5">
            <w:pPr>
              <w:spacing w:line="240" w:lineRule="auto"/>
              <w:jc w:val="center"/>
              <w:rPr>
                <w:sz w:val="18"/>
                <w:szCs w:val="18"/>
              </w:rPr>
            </w:pPr>
            <w:r w:rsidRPr="003463D2">
              <w:rPr>
                <w:sz w:val="18"/>
                <w:szCs w:val="18"/>
              </w:rPr>
              <w:t>2.9206</w:t>
            </w:r>
          </w:p>
        </w:tc>
        <w:tc>
          <w:tcPr>
            <w:tcW w:w="0" w:type="auto"/>
            <w:tcBorders>
              <w:top w:val="nil"/>
              <w:left w:val="nil"/>
              <w:bottom w:val="nil"/>
              <w:right w:val="nil"/>
            </w:tcBorders>
            <w:shd w:val="clear" w:color="auto" w:fill="auto"/>
            <w:noWrap/>
            <w:vAlign w:val="center"/>
          </w:tcPr>
          <w:p w14:paraId="6B8ECBD2" w14:textId="77777777" w:rsidR="0065555D" w:rsidRPr="003463D2" w:rsidRDefault="0065555D" w:rsidP="007049D5">
            <w:pPr>
              <w:spacing w:line="240" w:lineRule="auto"/>
              <w:jc w:val="center"/>
              <w:rPr>
                <w:sz w:val="18"/>
                <w:szCs w:val="18"/>
              </w:rPr>
            </w:pPr>
            <w:r w:rsidRPr="003463D2">
              <w:rPr>
                <w:sz w:val="18"/>
                <w:szCs w:val="18"/>
              </w:rPr>
              <w:t>(4.3808)</w:t>
            </w:r>
          </w:p>
        </w:tc>
      </w:tr>
      <w:tr w:rsidR="0065555D" w:rsidRPr="003463D2" w14:paraId="0BDC5FC9" w14:textId="77777777" w:rsidTr="007049D5">
        <w:trPr>
          <w:trHeight w:val="264"/>
          <w:jc w:val="center"/>
        </w:trPr>
        <w:tc>
          <w:tcPr>
            <w:tcW w:w="3244" w:type="dxa"/>
            <w:tcBorders>
              <w:top w:val="nil"/>
              <w:left w:val="nil"/>
              <w:bottom w:val="nil"/>
              <w:right w:val="nil"/>
            </w:tcBorders>
            <w:shd w:val="clear" w:color="auto" w:fill="auto"/>
            <w:noWrap/>
            <w:vAlign w:val="center"/>
            <w:hideMark/>
          </w:tcPr>
          <w:p w14:paraId="647EB7B3" w14:textId="77777777" w:rsidR="0065555D" w:rsidRPr="003463D2" w:rsidRDefault="0065555D" w:rsidP="007049D5">
            <w:pPr>
              <w:spacing w:after="0" w:line="240" w:lineRule="auto"/>
              <w:jc w:val="left"/>
              <w:rPr>
                <w:rFonts w:eastAsia="Times New Roman" w:cs="Times New Roman"/>
                <w:color w:val="000000"/>
                <w:sz w:val="18"/>
                <w:szCs w:val="18"/>
              </w:rPr>
            </w:pPr>
            <w:r w:rsidRPr="003463D2">
              <w:rPr>
                <w:rFonts w:eastAsia="Times New Roman" w:cs="Times New Roman"/>
                <w:color w:val="000000"/>
                <w:sz w:val="18"/>
                <w:szCs w:val="18"/>
              </w:rPr>
              <w:t>D(L1 Category 3) × D(L1 Rollover)</w:t>
            </w:r>
          </w:p>
        </w:tc>
        <w:tc>
          <w:tcPr>
            <w:tcW w:w="0" w:type="auto"/>
            <w:tcBorders>
              <w:top w:val="nil"/>
              <w:left w:val="nil"/>
              <w:bottom w:val="nil"/>
              <w:right w:val="nil"/>
            </w:tcBorders>
            <w:shd w:val="clear" w:color="auto" w:fill="auto"/>
            <w:noWrap/>
            <w:vAlign w:val="center"/>
          </w:tcPr>
          <w:p w14:paraId="6C5A31AE"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5B30D061"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7AB6EFED"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vAlign w:val="center"/>
          </w:tcPr>
          <w:p w14:paraId="571F5D5E"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vAlign w:val="center"/>
          </w:tcPr>
          <w:p w14:paraId="694DCC2B"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vAlign w:val="center"/>
          </w:tcPr>
          <w:p w14:paraId="689E7279"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219A7888"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3E0EB473"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552D7EB6"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4D62EB47" w14:textId="77777777" w:rsidR="0065555D" w:rsidRPr="003463D2" w:rsidRDefault="0065555D" w:rsidP="007049D5">
            <w:pPr>
              <w:spacing w:line="240" w:lineRule="auto"/>
              <w:jc w:val="center"/>
              <w:rPr>
                <w:sz w:val="18"/>
                <w:szCs w:val="18"/>
              </w:rPr>
            </w:pPr>
            <w:r w:rsidRPr="003463D2">
              <w:rPr>
                <w:sz w:val="18"/>
                <w:szCs w:val="18"/>
              </w:rPr>
              <w:t>0.3456</w:t>
            </w:r>
          </w:p>
        </w:tc>
        <w:tc>
          <w:tcPr>
            <w:tcW w:w="0" w:type="auto"/>
            <w:tcBorders>
              <w:top w:val="nil"/>
              <w:left w:val="nil"/>
              <w:bottom w:val="nil"/>
              <w:right w:val="nil"/>
            </w:tcBorders>
            <w:shd w:val="clear" w:color="auto" w:fill="auto"/>
            <w:noWrap/>
            <w:vAlign w:val="center"/>
          </w:tcPr>
          <w:p w14:paraId="66E8D07E" w14:textId="77777777" w:rsidR="0065555D" w:rsidRPr="003463D2" w:rsidRDefault="0065555D" w:rsidP="007049D5">
            <w:pPr>
              <w:spacing w:line="240" w:lineRule="auto"/>
              <w:jc w:val="center"/>
              <w:rPr>
                <w:sz w:val="18"/>
                <w:szCs w:val="18"/>
              </w:rPr>
            </w:pPr>
            <w:r w:rsidRPr="003463D2">
              <w:rPr>
                <w:sz w:val="18"/>
                <w:szCs w:val="18"/>
              </w:rPr>
              <w:t>1.4128</w:t>
            </w:r>
          </w:p>
        </w:tc>
        <w:tc>
          <w:tcPr>
            <w:tcW w:w="0" w:type="auto"/>
            <w:tcBorders>
              <w:top w:val="nil"/>
              <w:left w:val="nil"/>
              <w:bottom w:val="nil"/>
              <w:right w:val="nil"/>
            </w:tcBorders>
            <w:shd w:val="clear" w:color="auto" w:fill="auto"/>
            <w:noWrap/>
            <w:vAlign w:val="center"/>
          </w:tcPr>
          <w:p w14:paraId="0C93597A" w14:textId="77777777" w:rsidR="0065555D" w:rsidRPr="003463D2" w:rsidRDefault="0065555D" w:rsidP="007049D5">
            <w:pPr>
              <w:spacing w:line="240" w:lineRule="auto"/>
              <w:jc w:val="center"/>
              <w:rPr>
                <w:sz w:val="18"/>
                <w:szCs w:val="18"/>
              </w:rPr>
            </w:pPr>
            <w:r w:rsidRPr="003463D2">
              <w:rPr>
                <w:sz w:val="18"/>
                <w:szCs w:val="18"/>
              </w:rPr>
              <w:t>(2.3735)</w:t>
            </w:r>
          </w:p>
        </w:tc>
      </w:tr>
      <w:tr w:rsidR="0065555D" w:rsidRPr="003463D2" w14:paraId="3E91D86A" w14:textId="77777777" w:rsidTr="007049D5">
        <w:trPr>
          <w:trHeight w:val="264"/>
          <w:jc w:val="center"/>
        </w:trPr>
        <w:tc>
          <w:tcPr>
            <w:tcW w:w="3244" w:type="dxa"/>
            <w:tcBorders>
              <w:top w:val="nil"/>
              <w:left w:val="nil"/>
              <w:bottom w:val="nil"/>
              <w:right w:val="nil"/>
            </w:tcBorders>
            <w:shd w:val="clear" w:color="auto" w:fill="auto"/>
            <w:noWrap/>
            <w:vAlign w:val="center"/>
            <w:hideMark/>
          </w:tcPr>
          <w:p w14:paraId="205359EB" w14:textId="77777777" w:rsidR="0065555D" w:rsidRPr="003463D2" w:rsidRDefault="0065555D" w:rsidP="007049D5">
            <w:pPr>
              <w:spacing w:after="0" w:line="240" w:lineRule="auto"/>
              <w:jc w:val="left"/>
              <w:rPr>
                <w:rFonts w:eastAsia="Times New Roman" w:cs="Times New Roman"/>
                <w:color w:val="000000"/>
                <w:sz w:val="18"/>
                <w:szCs w:val="18"/>
              </w:rPr>
            </w:pPr>
            <w:r w:rsidRPr="003463D2">
              <w:rPr>
                <w:rFonts w:eastAsia="Times New Roman" w:cs="Times New Roman"/>
                <w:color w:val="000000"/>
                <w:sz w:val="18"/>
                <w:szCs w:val="18"/>
              </w:rPr>
              <w:t>D(L1 Category 4)</w:t>
            </w:r>
          </w:p>
        </w:tc>
        <w:tc>
          <w:tcPr>
            <w:tcW w:w="0" w:type="auto"/>
            <w:tcBorders>
              <w:top w:val="nil"/>
              <w:left w:val="nil"/>
              <w:bottom w:val="nil"/>
              <w:right w:val="nil"/>
            </w:tcBorders>
            <w:shd w:val="clear" w:color="auto" w:fill="auto"/>
            <w:noWrap/>
            <w:vAlign w:val="center"/>
          </w:tcPr>
          <w:p w14:paraId="38AD532E"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6C5CD823"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40DC9B0B"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vAlign w:val="center"/>
          </w:tcPr>
          <w:p w14:paraId="6A34D73A"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vAlign w:val="center"/>
          </w:tcPr>
          <w:p w14:paraId="0831AAEF"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vAlign w:val="center"/>
          </w:tcPr>
          <w:p w14:paraId="747744A6"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1E918C7E" w14:textId="77777777" w:rsidR="0065555D" w:rsidRPr="003463D2" w:rsidRDefault="0065555D" w:rsidP="007049D5">
            <w:pPr>
              <w:spacing w:line="240" w:lineRule="auto"/>
              <w:jc w:val="center"/>
              <w:rPr>
                <w:sz w:val="18"/>
                <w:szCs w:val="18"/>
              </w:rPr>
            </w:pPr>
            <w:r w:rsidRPr="003463D2">
              <w:rPr>
                <w:sz w:val="18"/>
                <w:szCs w:val="18"/>
              </w:rPr>
              <w:t>0.7435</w:t>
            </w:r>
          </w:p>
        </w:tc>
        <w:tc>
          <w:tcPr>
            <w:tcW w:w="0" w:type="auto"/>
            <w:tcBorders>
              <w:top w:val="nil"/>
              <w:left w:val="nil"/>
              <w:bottom w:val="nil"/>
              <w:right w:val="nil"/>
            </w:tcBorders>
            <w:shd w:val="clear" w:color="auto" w:fill="auto"/>
            <w:noWrap/>
            <w:vAlign w:val="center"/>
          </w:tcPr>
          <w:p w14:paraId="50C77EBC" w14:textId="77777777" w:rsidR="0065555D" w:rsidRPr="003463D2" w:rsidRDefault="0065555D" w:rsidP="007049D5">
            <w:pPr>
              <w:spacing w:line="240" w:lineRule="auto"/>
              <w:jc w:val="center"/>
              <w:rPr>
                <w:sz w:val="18"/>
                <w:szCs w:val="18"/>
              </w:rPr>
            </w:pPr>
            <w:r w:rsidRPr="003463D2">
              <w:rPr>
                <w:sz w:val="18"/>
                <w:szCs w:val="18"/>
              </w:rPr>
              <w:t>2.1033</w:t>
            </w:r>
          </w:p>
        </w:tc>
        <w:tc>
          <w:tcPr>
            <w:tcW w:w="0" w:type="auto"/>
            <w:tcBorders>
              <w:top w:val="nil"/>
              <w:left w:val="nil"/>
              <w:bottom w:val="nil"/>
              <w:right w:val="nil"/>
            </w:tcBorders>
            <w:shd w:val="clear" w:color="auto" w:fill="auto"/>
            <w:noWrap/>
            <w:vAlign w:val="center"/>
          </w:tcPr>
          <w:p w14:paraId="1055DEA5" w14:textId="77777777" w:rsidR="0065555D" w:rsidRPr="003463D2" w:rsidRDefault="0065555D" w:rsidP="007049D5">
            <w:pPr>
              <w:spacing w:line="240" w:lineRule="auto"/>
              <w:jc w:val="center"/>
              <w:rPr>
                <w:sz w:val="18"/>
                <w:szCs w:val="18"/>
              </w:rPr>
            </w:pPr>
            <w:r w:rsidRPr="003463D2">
              <w:rPr>
                <w:sz w:val="18"/>
                <w:szCs w:val="18"/>
              </w:rPr>
              <w:t>(4.4437)</w:t>
            </w:r>
          </w:p>
        </w:tc>
        <w:tc>
          <w:tcPr>
            <w:tcW w:w="0" w:type="auto"/>
            <w:tcBorders>
              <w:top w:val="nil"/>
              <w:left w:val="nil"/>
              <w:bottom w:val="nil"/>
              <w:right w:val="nil"/>
            </w:tcBorders>
            <w:shd w:val="clear" w:color="auto" w:fill="auto"/>
            <w:noWrap/>
            <w:vAlign w:val="center"/>
          </w:tcPr>
          <w:p w14:paraId="494B2C71" w14:textId="77777777" w:rsidR="0065555D" w:rsidRPr="003463D2" w:rsidRDefault="0065555D" w:rsidP="007049D5">
            <w:pPr>
              <w:spacing w:line="240" w:lineRule="auto"/>
              <w:jc w:val="center"/>
              <w:rPr>
                <w:sz w:val="18"/>
                <w:szCs w:val="18"/>
              </w:rPr>
            </w:pPr>
            <w:r w:rsidRPr="003463D2">
              <w:rPr>
                <w:sz w:val="18"/>
                <w:szCs w:val="18"/>
              </w:rPr>
              <w:t>0.4839</w:t>
            </w:r>
          </w:p>
        </w:tc>
        <w:tc>
          <w:tcPr>
            <w:tcW w:w="0" w:type="auto"/>
            <w:tcBorders>
              <w:top w:val="nil"/>
              <w:left w:val="nil"/>
              <w:bottom w:val="nil"/>
              <w:right w:val="nil"/>
            </w:tcBorders>
            <w:shd w:val="clear" w:color="auto" w:fill="auto"/>
            <w:noWrap/>
            <w:vAlign w:val="center"/>
          </w:tcPr>
          <w:p w14:paraId="63F4D659" w14:textId="77777777" w:rsidR="0065555D" w:rsidRPr="003463D2" w:rsidRDefault="0065555D" w:rsidP="007049D5">
            <w:pPr>
              <w:spacing w:line="240" w:lineRule="auto"/>
              <w:jc w:val="center"/>
              <w:rPr>
                <w:sz w:val="18"/>
                <w:szCs w:val="18"/>
              </w:rPr>
            </w:pPr>
            <w:r w:rsidRPr="003463D2">
              <w:rPr>
                <w:sz w:val="18"/>
                <w:szCs w:val="18"/>
              </w:rPr>
              <w:t>1.6224</w:t>
            </w:r>
          </w:p>
        </w:tc>
        <w:tc>
          <w:tcPr>
            <w:tcW w:w="0" w:type="auto"/>
            <w:tcBorders>
              <w:top w:val="nil"/>
              <w:left w:val="nil"/>
              <w:bottom w:val="nil"/>
              <w:right w:val="nil"/>
            </w:tcBorders>
            <w:shd w:val="clear" w:color="auto" w:fill="auto"/>
            <w:noWrap/>
            <w:vAlign w:val="center"/>
          </w:tcPr>
          <w:p w14:paraId="42CFF25E" w14:textId="77777777" w:rsidR="0065555D" w:rsidRPr="003463D2" w:rsidRDefault="0065555D" w:rsidP="007049D5">
            <w:pPr>
              <w:spacing w:line="240" w:lineRule="auto"/>
              <w:jc w:val="center"/>
              <w:rPr>
                <w:sz w:val="18"/>
                <w:szCs w:val="18"/>
              </w:rPr>
            </w:pPr>
            <w:r w:rsidRPr="003463D2">
              <w:rPr>
                <w:sz w:val="18"/>
                <w:szCs w:val="18"/>
              </w:rPr>
              <w:t>(2.3223)</w:t>
            </w:r>
          </w:p>
        </w:tc>
      </w:tr>
      <w:tr w:rsidR="0065555D" w:rsidRPr="003463D2" w14:paraId="65B97031" w14:textId="77777777" w:rsidTr="007049D5">
        <w:trPr>
          <w:trHeight w:val="264"/>
          <w:jc w:val="center"/>
        </w:trPr>
        <w:tc>
          <w:tcPr>
            <w:tcW w:w="3244" w:type="dxa"/>
            <w:tcBorders>
              <w:top w:val="nil"/>
              <w:left w:val="nil"/>
              <w:bottom w:val="nil"/>
              <w:right w:val="nil"/>
            </w:tcBorders>
            <w:shd w:val="clear" w:color="auto" w:fill="auto"/>
            <w:noWrap/>
            <w:vAlign w:val="center"/>
            <w:hideMark/>
          </w:tcPr>
          <w:p w14:paraId="7C28334B" w14:textId="77777777" w:rsidR="0065555D" w:rsidRPr="003463D2" w:rsidRDefault="0065555D" w:rsidP="007049D5">
            <w:pPr>
              <w:spacing w:after="0" w:line="240" w:lineRule="auto"/>
              <w:jc w:val="left"/>
              <w:rPr>
                <w:rFonts w:eastAsia="Times New Roman" w:cs="Times New Roman"/>
                <w:color w:val="000000"/>
                <w:sz w:val="18"/>
                <w:szCs w:val="18"/>
              </w:rPr>
            </w:pPr>
            <w:r w:rsidRPr="003463D2">
              <w:rPr>
                <w:rFonts w:eastAsia="Times New Roman" w:cs="Times New Roman"/>
                <w:color w:val="000000"/>
                <w:sz w:val="18"/>
                <w:szCs w:val="18"/>
              </w:rPr>
              <w:t>D(L1 Category 4) × D(L1 Rollover)</w:t>
            </w:r>
          </w:p>
        </w:tc>
        <w:tc>
          <w:tcPr>
            <w:tcW w:w="0" w:type="auto"/>
            <w:tcBorders>
              <w:top w:val="nil"/>
              <w:left w:val="nil"/>
              <w:bottom w:val="nil"/>
              <w:right w:val="nil"/>
            </w:tcBorders>
            <w:shd w:val="clear" w:color="auto" w:fill="auto"/>
            <w:noWrap/>
            <w:vAlign w:val="center"/>
          </w:tcPr>
          <w:p w14:paraId="2D44CDD1"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43989149"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4F0A6680"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vAlign w:val="center"/>
          </w:tcPr>
          <w:p w14:paraId="5D0B1331"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vAlign w:val="center"/>
          </w:tcPr>
          <w:p w14:paraId="0CEC1EB6"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vAlign w:val="center"/>
          </w:tcPr>
          <w:p w14:paraId="5962F2C6"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44087AC9"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145B373B"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0A628D7B"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01DA6042" w14:textId="77777777" w:rsidR="0065555D" w:rsidRPr="003463D2" w:rsidRDefault="0065555D" w:rsidP="007049D5">
            <w:pPr>
              <w:spacing w:line="240" w:lineRule="auto"/>
              <w:jc w:val="center"/>
              <w:rPr>
                <w:sz w:val="18"/>
                <w:szCs w:val="18"/>
              </w:rPr>
            </w:pPr>
            <w:r w:rsidRPr="003463D2">
              <w:rPr>
                <w:sz w:val="18"/>
                <w:szCs w:val="18"/>
              </w:rPr>
              <w:t>0.9382</w:t>
            </w:r>
          </w:p>
        </w:tc>
        <w:tc>
          <w:tcPr>
            <w:tcW w:w="0" w:type="auto"/>
            <w:tcBorders>
              <w:top w:val="nil"/>
              <w:left w:val="nil"/>
              <w:bottom w:val="nil"/>
              <w:right w:val="nil"/>
            </w:tcBorders>
            <w:shd w:val="clear" w:color="auto" w:fill="auto"/>
            <w:noWrap/>
            <w:vAlign w:val="center"/>
          </w:tcPr>
          <w:p w14:paraId="31AB7CC6" w14:textId="77777777" w:rsidR="0065555D" w:rsidRPr="003463D2" w:rsidRDefault="0065555D" w:rsidP="007049D5">
            <w:pPr>
              <w:spacing w:line="240" w:lineRule="auto"/>
              <w:jc w:val="center"/>
              <w:rPr>
                <w:sz w:val="18"/>
                <w:szCs w:val="18"/>
              </w:rPr>
            </w:pPr>
            <w:r w:rsidRPr="003463D2">
              <w:rPr>
                <w:sz w:val="18"/>
                <w:szCs w:val="18"/>
              </w:rPr>
              <w:t>2.5555</w:t>
            </w:r>
          </w:p>
        </w:tc>
        <w:tc>
          <w:tcPr>
            <w:tcW w:w="0" w:type="auto"/>
            <w:tcBorders>
              <w:top w:val="nil"/>
              <w:left w:val="nil"/>
              <w:bottom w:val="nil"/>
              <w:right w:val="nil"/>
            </w:tcBorders>
            <w:shd w:val="clear" w:color="auto" w:fill="auto"/>
            <w:noWrap/>
            <w:vAlign w:val="center"/>
          </w:tcPr>
          <w:p w14:paraId="1ADE85A3" w14:textId="77777777" w:rsidR="0065555D" w:rsidRPr="003463D2" w:rsidRDefault="0065555D" w:rsidP="007049D5">
            <w:pPr>
              <w:spacing w:line="240" w:lineRule="auto"/>
              <w:jc w:val="center"/>
              <w:rPr>
                <w:sz w:val="18"/>
                <w:szCs w:val="18"/>
              </w:rPr>
            </w:pPr>
            <w:r w:rsidRPr="003463D2">
              <w:rPr>
                <w:sz w:val="18"/>
                <w:szCs w:val="18"/>
              </w:rPr>
              <w:t>(5.3598)</w:t>
            </w:r>
          </w:p>
        </w:tc>
      </w:tr>
      <w:tr w:rsidR="0065555D" w:rsidRPr="003463D2" w14:paraId="4D4714A3" w14:textId="77777777" w:rsidTr="007049D5">
        <w:trPr>
          <w:trHeight w:val="264"/>
          <w:jc w:val="center"/>
        </w:trPr>
        <w:tc>
          <w:tcPr>
            <w:tcW w:w="3244" w:type="dxa"/>
            <w:tcBorders>
              <w:top w:val="nil"/>
              <w:left w:val="nil"/>
              <w:bottom w:val="nil"/>
              <w:right w:val="nil"/>
            </w:tcBorders>
            <w:shd w:val="clear" w:color="auto" w:fill="auto"/>
            <w:noWrap/>
            <w:vAlign w:val="center"/>
            <w:hideMark/>
          </w:tcPr>
          <w:p w14:paraId="1611E790" w14:textId="77777777" w:rsidR="0065555D" w:rsidRPr="003463D2" w:rsidRDefault="0065555D" w:rsidP="007049D5">
            <w:pPr>
              <w:spacing w:after="0" w:line="240" w:lineRule="auto"/>
              <w:jc w:val="left"/>
              <w:rPr>
                <w:rFonts w:eastAsia="Times New Roman" w:cs="Times New Roman"/>
                <w:color w:val="000000"/>
                <w:sz w:val="18"/>
                <w:szCs w:val="18"/>
              </w:rPr>
            </w:pPr>
            <w:r w:rsidRPr="003463D2">
              <w:rPr>
                <w:rFonts w:eastAsia="Times New Roman" w:cs="Times New Roman"/>
                <w:color w:val="000000"/>
                <w:sz w:val="18"/>
                <w:szCs w:val="18"/>
              </w:rPr>
              <w:t>D(L1 Category 5)</w:t>
            </w:r>
          </w:p>
        </w:tc>
        <w:tc>
          <w:tcPr>
            <w:tcW w:w="0" w:type="auto"/>
            <w:tcBorders>
              <w:top w:val="nil"/>
              <w:left w:val="nil"/>
              <w:bottom w:val="nil"/>
              <w:right w:val="nil"/>
            </w:tcBorders>
            <w:shd w:val="clear" w:color="auto" w:fill="auto"/>
            <w:noWrap/>
            <w:vAlign w:val="center"/>
          </w:tcPr>
          <w:p w14:paraId="47ED3808"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728B7800"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6B8783D2"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vAlign w:val="center"/>
          </w:tcPr>
          <w:p w14:paraId="48D8F7D0"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vAlign w:val="center"/>
          </w:tcPr>
          <w:p w14:paraId="46A7CF63"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vAlign w:val="center"/>
          </w:tcPr>
          <w:p w14:paraId="2ECBE73A"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5F7262E0" w14:textId="77777777" w:rsidR="0065555D" w:rsidRPr="003463D2" w:rsidRDefault="0065555D" w:rsidP="007049D5">
            <w:pPr>
              <w:spacing w:line="240" w:lineRule="auto"/>
              <w:jc w:val="center"/>
              <w:rPr>
                <w:sz w:val="18"/>
                <w:szCs w:val="18"/>
              </w:rPr>
            </w:pPr>
            <w:r w:rsidRPr="003463D2">
              <w:rPr>
                <w:sz w:val="18"/>
                <w:szCs w:val="18"/>
              </w:rPr>
              <w:t>0.0087</w:t>
            </w:r>
          </w:p>
        </w:tc>
        <w:tc>
          <w:tcPr>
            <w:tcW w:w="0" w:type="auto"/>
            <w:tcBorders>
              <w:top w:val="nil"/>
              <w:left w:val="nil"/>
              <w:bottom w:val="nil"/>
              <w:right w:val="nil"/>
            </w:tcBorders>
            <w:shd w:val="clear" w:color="auto" w:fill="auto"/>
            <w:noWrap/>
            <w:vAlign w:val="center"/>
          </w:tcPr>
          <w:p w14:paraId="42481E2A" w14:textId="77777777" w:rsidR="0065555D" w:rsidRPr="003463D2" w:rsidRDefault="0065555D" w:rsidP="007049D5">
            <w:pPr>
              <w:spacing w:line="240" w:lineRule="auto"/>
              <w:jc w:val="center"/>
              <w:rPr>
                <w:sz w:val="18"/>
                <w:szCs w:val="18"/>
              </w:rPr>
            </w:pPr>
            <w:r w:rsidRPr="003463D2">
              <w:rPr>
                <w:sz w:val="18"/>
                <w:szCs w:val="18"/>
              </w:rPr>
              <w:t>1.0088</w:t>
            </w:r>
          </w:p>
        </w:tc>
        <w:tc>
          <w:tcPr>
            <w:tcW w:w="0" w:type="auto"/>
            <w:tcBorders>
              <w:top w:val="nil"/>
              <w:left w:val="nil"/>
              <w:bottom w:val="nil"/>
              <w:right w:val="nil"/>
            </w:tcBorders>
            <w:shd w:val="clear" w:color="auto" w:fill="auto"/>
            <w:noWrap/>
            <w:vAlign w:val="center"/>
          </w:tcPr>
          <w:p w14:paraId="63BA1596" w14:textId="77777777" w:rsidR="0065555D" w:rsidRPr="003463D2" w:rsidRDefault="0065555D" w:rsidP="007049D5">
            <w:pPr>
              <w:spacing w:line="240" w:lineRule="auto"/>
              <w:jc w:val="center"/>
              <w:rPr>
                <w:sz w:val="18"/>
                <w:szCs w:val="18"/>
              </w:rPr>
            </w:pPr>
            <w:r w:rsidRPr="003463D2">
              <w:rPr>
                <w:sz w:val="18"/>
                <w:szCs w:val="18"/>
              </w:rPr>
              <w:t>(0.0290)</w:t>
            </w:r>
          </w:p>
        </w:tc>
        <w:tc>
          <w:tcPr>
            <w:tcW w:w="0" w:type="auto"/>
            <w:tcBorders>
              <w:top w:val="nil"/>
              <w:left w:val="nil"/>
              <w:bottom w:val="nil"/>
              <w:right w:val="nil"/>
            </w:tcBorders>
            <w:shd w:val="clear" w:color="auto" w:fill="auto"/>
            <w:noWrap/>
            <w:vAlign w:val="center"/>
          </w:tcPr>
          <w:p w14:paraId="74DAFDA5" w14:textId="77777777" w:rsidR="0065555D" w:rsidRPr="003463D2" w:rsidRDefault="0065555D" w:rsidP="007049D5">
            <w:pPr>
              <w:spacing w:line="240" w:lineRule="auto"/>
              <w:jc w:val="center"/>
              <w:rPr>
                <w:sz w:val="18"/>
                <w:szCs w:val="18"/>
              </w:rPr>
            </w:pPr>
            <w:r w:rsidRPr="003463D2">
              <w:rPr>
                <w:sz w:val="18"/>
                <w:szCs w:val="18"/>
              </w:rPr>
              <w:t>0.1801</w:t>
            </w:r>
          </w:p>
        </w:tc>
        <w:tc>
          <w:tcPr>
            <w:tcW w:w="0" w:type="auto"/>
            <w:tcBorders>
              <w:top w:val="nil"/>
              <w:left w:val="nil"/>
              <w:bottom w:val="nil"/>
              <w:right w:val="nil"/>
            </w:tcBorders>
            <w:shd w:val="clear" w:color="auto" w:fill="auto"/>
            <w:noWrap/>
            <w:vAlign w:val="center"/>
          </w:tcPr>
          <w:p w14:paraId="1041A133" w14:textId="77777777" w:rsidR="0065555D" w:rsidRPr="003463D2" w:rsidRDefault="0065555D" w:rsidP="007049D5">
            <w:pPr>
              <w:spacing w:line="240" w:lineRule="auto"/>
              <w:jc w:val="center"/>
              <w:rPr>
                <w:sz w:val="18"/>
                <w:szCs w:val="18"/>
              </w:rPr>
            </w:pPr>
            <w:r w:rsidRPr="003463D2">
              <w:rPr>
                <w:sz w:val="18"/>
                <w:szCs w:val="18"/>
              </w:rPr>
              <w:t>1.1973</w:t>
            </w:r>
          </w:p>
        </w:tc>
        <w:tc>
          <w:tcPr>
            <w:tcW w:w="0" w:type="auto"/>
            <w:tcBorders>
              <w:top w:val="nil"/>
              <w:left w:val="nil"/>
              <w:bottom w:val="nil"/>
              <w:right w:val="nil"/>
            </w:tcBorders>
            <w:shd w:val="clear" w:color="auto" w:fill="auto"/>
            <w:noWrap/>
            <w:vAlign w:val="center"/>
          </w:tcPr>
          <w:p w14:paraId="40D1D78D" w14:textId="77777777" w:rsidR="0065555D" w:rsidRPr="003463D2" w:rsidRDefault="0065555D" w:rsidP="007049D5">
            <w:pPr>
              <w:spacing w:line="240" w:lineRule="auto"/>
              <w:jc w:val="center"/>
              <w:rPr>
                <w:sz w:val="18"/>
                <w:szCs w:val="18"/>
              </w:rPr>
            </w:pPr>
            <w:r w:rsidRPr="003463D2">
              <w:rPr>
                <w:sz w:val="18"/>
                <w:szCs w:val="18"/>
              </w:rPr>
              <w:t>(0.5721)</w:t>
            </w:r>
          </w:p>
        </w:tc>
      </w:tr>
      <w:tr w:rsidR="0065555D" w:rsidRPr="003463D2" w14:paraId="6E24D072" w14:textId="77777777" w:rsidTr="007049D5">
        <w:trPr>
          <w:trHeight w:val="264"/>
          <w:jc w:val="center"/>
        </w:trPr>
        <w:tc>
          <w:tcPr>
            <w:tcW w:w="3244" w:type="dxa"/>
            <w:tcBorders>
              <w:top w:val="nil"/>
              <w:left w:val="nil"/>
              <w:bottom w:val="nil"/>
              <w:right w:val="nil"/>
            </w:tcBorders>
            <w:shd w:val="clear" w:color="auto" w:fill="auto"/>
            <w:noWrap/>
            <w:vAlign w:val="center"/>
            <w:hideMark/>
          </w:tcPr>
          <w:p w14:paraId="3AEF97F1" w14:textId="77777777" w:rsidR="0065555D" w:rsidRPr="003463D2" w:rsidRDefault="0065555D" w:rsidP="007049D5">
            <w:pPr>
              <w:spacing w:after="0" w:line="240" w:lineRule="auto"/>
              <w:jc w:val="left"/>
              <w:rPr>
                <w:rFonts w:eastAsia="Times New Roman" w:cs="Times New Roman"/>
                <w:color w:val="000000"/>
                <w:sz w:val="18"/>
                <w:szCs w:val="18"/>
              </w:rPr>
            </w:pPr>
            <w:r w:rsidRPr="003463D2">
              <w:rPr>
                <w:rFonts w:eastAsia="Times New Roman" w:cs="Times New Roman"/>
                <w:color w:val="000000"/>
                <w:sz w:val="18"/>
                <w:szCs w:val="18"/>
              </w:rPr>
              <w:t>D(L1 Category 5) × D(L1 Rollover)</w:t>
            </w:r>
          </w:p>
        </w:tc>
        <w:tc>
          <w:tcPr>
            <w:tcW w:w="0" w:type="auto"/>
            <w:tcBorders>
              <w:top w:val="nil"/>
              <w:left w:val="nil"/>
              <w:bottom w:val="nil"/>
              <w:right w:val="nil"/>
            </w:tcBorders>
            <w:shd w:val="clear" w:color="auto" w:fill="auto"/>
            <w:noWrap/>
            <w:vAlign w:val="center"/>
          </w:tcPr>
          <w:p w14:paraId="14A4D384"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12533610"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1D4DC5C0"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vAlign w:val="center"/>
          </w:tcPr>
          <w:p w14:paraId="4BA82A98"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vAlign w:val="center"/>
          </w:tcPr>
          <w:p w14:paraId="0D76ECE0"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vAlign w:val="center"/>
          </w:tcPr>
          <w:p w14:paraId="266A172E"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4F081654"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044D6D76"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296CEC49"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52B16AA2" w14:textId="77777777" w:rsidR="0065555D" w:rsidRPr="003463D2" w:rsidRDefault="0065555D" w:rsidP="007049D5">
            <w:pPr>
              <w:spacing w:line="240" w:lineRule="auto"/>
              <w:jc w:val="center"/>
              <w:rPr>
                <w:sz w:val="18"/>
                <w:szCs w:val="18"/>
              </w:rPr>
            </w:pPr>
            <w:r w:rsidRPr="003463D2">
              <w:rPr>
                <w:sz w:val="18"/>
                <w:szCs w:val="18"/>
              </w:rPr>
              <w:t>0.0416</w:t>
            </w:r>
          </w:p>
        </w:tc>
        <w:tc>
          <w:tcPr>
            <w:tcW w:w="0" w:type="auto"/>
            <w:tcBorders>
              <w:top w:val="nil"/>
              <w:left w:val="nil"/>
              <w:bottom w:val="nil"/>
              <w:right w:val="nil"/>
            </w:tcBorders>
            <w:shd w:val="clear" w:color="auto" w:fill="auto"/>
            <w:noWrap/>
            <w:vAlign w:val="center"/>
          </w:tcPr>
          <w:p w14:paraId="7B54B8F1" w14:textId="77777777" w:rsidR="0065555D" w:rsidRPr="003463D2" w:rsidRDefault="0065555D" w:rsidP="007049D5">
            <w:pPr>
              <w:spacing w:line="240" w:lineRule="auto"/>
              <w:jc w:val="center"/>
              <w:rPr>
                <w:sz w:val="18"/>
                <w:szCs w:val="18"/>
              </w:rPr>
            </w:pPr>
            <w:r w:rsidRPr="003463D2">
              <w:rPr>
                <w:sz w:val="18"/>
                <w:szCs w:val="18"/>
              </w:rPr>
              <w:t>1.0425</w:t>
            </w:r>
          </w:p>
        </w:tc>
        <w:tc>
          <w:tcPr>
            <w:tcW w:w="0" w:type="auto"/>
            <w:tcBorders>
              <w:top w:val="nil"/>
              <w:left w:val="nil"/>
              <w:bottom w:val="nil"/>
              <w:right w:val="nil"/>
            </w:tcBorders>
            <w:shd w:val="clear" w:color="auto" w:fill="auto"/>
            <w:noWrap/>
            <w:vAlign w:val="center"/>
          </w:tcPr>
          <w:p w14:paraId="7C47EB8F" w14:textId="77777777" w:rsidR="0065555D" w:rsidRPr="003463D2" w:rsidRDefault="0065555D" w:rsidP="007049D5">
            <w:pPr>
              <w:spacing w:line="240" w:lineRule="auto"/>
              <w:jc w:val="center"/>
              <w:rPr>
                <w:sz w:val="18"/>
                <w:szCs w:val="18"/>
              </w:rPr>
            </w:pPr>
            <w:r w:rsidRPr="003463D2">
              <w:rPr>
                <w:sz w:val="18"/>
                <w:szCs w:val="18"/>
              </w:rPr>
              <w:t>(0.0685)</w:t>
            </w:r>
          </w:p>
        </w:tc>
      </w:tr>
      <w:tr w:rsidR="0065555D" w:rsidRPr="003463D2" w14:paraId="6A01937A" w14:textId="77777777" w:rsidTr="007049D5">
        <w:trPr>
          <w:trHeight w:val="264"/>
          <w:jc w:val="center"/>
        </w:trPr>
        <w:tc>
          <w:tcPr>
            <w:tcW w:w="3244" w:type="dxa"/>
            <w:tcBorders>
              <w:top w:val="nil"/>
              <w:left w:val="nil"/>
              <w:bottom w:val="nil"/>
              <w:right w:val="nil"/>
            </w:tcBorders>
            <w:shd w:val="clear" w:color="auto" w:fill="auto"/>
            <w:noWrap/>
            <w:vAlign w:val="center"/>
            <w:hideMark/>
          </w:tcPr>
          <w:p w14:paraId="155D9D3A" w14:textId="77777777" w:rsidR="0065555D" w:rsidRPr="003463D2" w:rsidRDefault="0065555D" w:rsidP="007049D5">
            <w:pPr>
              <w:spacing w:after="0" w:line="240" w:lineRule="auto"/>
              <w:jc w:val="left"/>
              <w:rPr>
                <w:rFonts w:eastAsia="Times New Roman" w:cs="Times New Roman"/>
                <w:color w:val="000000"/>
                <w:sz w:val="18"/>
                <w:szCs w:val="18"/>
              </w:rPr>
            </w:pPr>
            <w:r w:rsidRPr="003463D2">
              <w:rPr>
                <w:rFonts w:eastAsia="Times New Roman" w:cs="Times New Roman"/>
                <w:color w:val="000000"/>
                <w:sz w:val="18"/>
                <w:szCs w:val="18"/>
              </w:rPr>
              <w:t>D(L1 Category 6) × D(L1 Rollover)</w:t>
            </w:r>
          </w:p>
        </w:tc>
        <w:tc>
          <w:tcPr>
            <w:tcW w:w="0" w:type="auto"/>
            <w:tcBorders>
              <w:top w:val="nil"/>
              <w:left w:val="nil"/>
              <w:bottom w:val="nil"/>
              <w:right w:val="nil"/>
            </w:tcBorders>
            <w:shd w:val="clear" w:color="auto" w:fill="auto"/>
            <w:noWrap/>
            <w:vAlign w:val="center"/>
          </w:tcPr>
          <w:p w14:paraId="43657EA1"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27B7C80C"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50823ADE"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vAlign w:val="center"/>
          </w:tcPr>
          <w:p w14:paraId="2F192D91"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vAlign w:val="center"/>
          </w:tcPr>
          <w:p w14:paraId="73F5E21F"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vAlign w:val="center"/>
          </w:tcPr>
          <w:p w14:paraId="3AF0C648"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41F39E49"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3A0C201A"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7E384727" w14:textId="77777777" w:rsidR="0065555D" w:rsidRPr="003463D2" w:rsidRDefault="0065555D" w:rsidP="007049D5">
            <w:pPr>
              <w:spacing w:line="240" w:lineRule="auto"/>
              <w:jc w:val="center"/>
              <w:rPr>
                <w:sz w:val="18"/>
                <w:szCs w:val="18"/>
              </w:rPr>
            </w:pPr>
          </w:p>
        </w:tc>
        <w:tc>
          <w:tcPr>
            <w:tcW w:w="0" w:type="auto"/>
            <w:tcBorders>
              <w:top w:val="nil"/>
              <w:left w:val="nil"/>
              <w:bottom w:val="nil"/>
              <w:right w:val="nil"/>
            </w:tcBorders>
            <w:shd w:val="clear" w:color="auto" w:fill="auto"/>
            <w:noWrap/>
            <w:vAlign w:val="center"/>
          </w:tcPr>
          <w:p w14:paraId="500EAED5" w14:textId="77777777" w:rsidR="0065555D" w:rsidRPr="003463D2" w:rsidRDefault="0065555D" w:rsidP="007049D5">
            <w:pPr>
              <w:spacing w:line="240" w:lineRule="auto"/>
              <w:jc w:val="center"/>
              <w:rPr>
                <w:sz w:val="18"/>
                <w:szCs w:val="18"/>
              </w:rPr>
            </w:pPr>
            <w:r w:rsidRPr="003463D2">
              <w:rPr>
                <w:sz w:val="18"/>
                <w:szCs w:val="18"/>
              </w:rPr>
              <w:t>0.8957</w:t>
            </w:r>
          </w:p>
        </w:tc>
        <w:tc>
          <w:tcPr>
            <w:tcW w:w="0" w:type="auto"/>
            <w:tcBorders>
              <w:top w:val="nil"/>
              <w:left w:val="nil"/>
              <w:bottom w:val="nil"/>
              <w:right w:val="nil"/>
            </w:tcBorders>
            <w:shd w:val="clear" w:color="auto" w:fill="auto"/>
            <w:noWrap/>
            <w:vAlign w:val="center"/>
          </w:tcPr>
          <w:p w14:paraId="5E561165" w14:textId="77777777" w:rsidR="0065555D" w:rsidRPr="003463D2" w:rsidRDefault="0065555D" w:rsidP="007049D5">
            <w:pPr>
              <w:spacing w:line="240" w:lineRule="auto"/>
              <w:jc w:val="center"/>
              <w:rPr>
                <w:sz w:val="18"/>
                <w:szCs w:val="18"/>
              </w:rPr>
            </w:pPr>
            <w:r w:rsidRPr="003463D2">
              <w:rPr>
                <w:sz w:val="18"/>
                <w:szCs w:val="18"/>
              </w:rPr>
              <w:t>2.4490</w:t>
            </w:r>
          </w:p>
        </w:tc>
        <w:tc>
          <w:tcPr>
            <w:tcW w:w="0" w:type="auto"/>
            <w:tcBorders>
              <w:top w:val="nil"/>
              <w:left w:val="nil"/>
              <w:bottom w:val="nil"/>
              <w:right w:val="nil"/>
            </w:tcBorders>
            <w:shd w:val="clear" w:color="auto" w:fill="auto"/>
            <w:noWrap/>
            <w:vAlign w:val="center"/>
          </w:tcPr>
          <w:p w14:paraId="26E63EBD" w14:textId="77777777" w:rsidR="0065555D" w:rsidRPr="003463D2" w:rsidRDefault="0065555D" w:rsidP="007049D5">
            <w:pPr>
              <w:spacing w:line="240" w:lineRule="auto"/>
              <w:jc w:val="center"/>
              <w:rPr>
                <w:sz w:val="18"/>
                <w:szCs w:val="18"/>
              </w:rPr>
            </w:pPr>
            <w:r w:rsidRPr="003463D2">
              <w:rPr>
                <w:sz w:val="18"/>
                <w:szCs w:val="18"/>
              </w:rPr>
              <w:t>(3.7725)</w:t>
            </w:r>
          </w:p>
        </w:tc>
      </w:tr>
      <w:tr w:rsidR="0065555D" w:rsidRPr="003463D2" w14:paraId="001AF2CE" w14:textId="77777777" w:rsidTr="007049D5">
        <w:trPr>
          <w:trHeight w:val="264"/>
          <w:jc w:val="center"/>
        </w:trPr>
        <w:tc>
          <w:tcPr>
            <w:tcW w:w="3244" w:type="dxa"/>
            <w:tcBorders>
              <w:top w:val="nil"/>
              <w:left w:val="nil"/>
              <w:bottom w:val="nil"/>
              <w:right w:val="nil"/>
            </w:tcBorders>
            <w:shd w:val="clear" w:color="auto" w:fill="auto"/>
            <w:noWrap/>
            <w:vAlign w:val="center"/>
            <w:hideMark/>
          </w:tcPr>
          <w:p w14:paraId="59839FB6" w14:textId="77777777" w:rsidR="0065555D" w:rsidRPr="003463D2" w:rsidRDefault="0065555D" w:rsidP="007049D5">
            <w:pPr>
              <w:spacing w:after="0" w:line="240" w:lineRule="auto"/>
              <w:jc w:val="left"/>
              <w:rPr>
                <w:rFonts w:eastAsia="MS Mincho" w:cs="Times New Roman"/>
                <w:sz w:val="18"/>
                <w:szCs w:val="18"/>
              </w:rPr>
            </w:pPr>
            <w:r w:rsidRPr="003463D2">
              <w:rPr>
                <w:rFonts w:eastAsia="MS Mincho" w:cs="Times New Roman"/>
                <w:sz w:val="18"/>
                <w:szCs w:val="18"/>
              </w:rPr>
              <w:t>Spread</w:t>
            </w:r>
          </w:p>
        </w:tc>
        <w:tc>
          <w:tcPr>
            <w:tcW w:w="0" w:type="auto"/>
            <w:tcBorders>
              <w:top w:val="nil"/>
              <w:left w:val="nil"/>
              <w:bottom w:val="nil"/>
              <w:right w:val="nil"/>
            </w:tcBorders>
            <w:shd w:val="clear" w:color="auto" w:fill="auto"/>
            <w:noWrap/>
            <w:vAlign w:val="center"/>
          </w:tcPr>
          <w:p w14:paraId="2992F4A4" w14:textId="77777777" w:rsidR="0065555D" w:rsidRPr="003463D2" w:rsidRDefault="0065555D" w:rsidP="007049D5">
            <w:pPr>
              <w:spacing w:line="240" w:lineRule="auto"/>
              <w:jc w:val="center"/>
              <w:rPr>
                <w:sz w:val="18"/>
                <w:szCs w:val="18"/>
              </w:rPr>
            </w:pPr>
            <w:r w:rsidRPr="003463D2">
              <w:rPr>
                <w:sz w:val="18"/>
                <w:szCs w:val="18"/>
              </w:rPr>
              <w:t>1.0129</w:t>
            </w:r>
          </w:p>
        </w:tc>
        <w:tc>
          <w:tcPr>
            <w:tcW w:w="0" w:type="auto"/>
            <w:tcBorders>
              <w:top w:val="nil"/>
              <w:left w:val="nil"/>
              <w:bottom w:val="nil"/>
              <w:right w:val="nil"/>
            </w:tcBorders>
            <w:shd w:val="clear" w:color="auto" w:fill="auto"/>
            <w:noWrap/>
            <w:vAlign w:val="center"/>
          </w:tcPr>
          <w:p w14:paraId="05C00429" w14:textId="77777777" w:rsidR="0065555D" w:rsidRPr="003463D2" w:rsidRDefault="0065555D" w:rsidP="007049D5">
            <w:pPr>
              <w:spacing w:line="240" w:lineRule="auto"/>
              <w:jc w:val="center"/>
              <w:rPr>
                <w:sz w:val="18"/>
                <w:szCs w:val="18"/>
              </w:rPr>
            </w:pPr>
            <w:r w:rsidRPr="003463D2">
              <w:rPr>
                <w:sz w:val="18"/>
                <w:szCs w:val="18"/>
              </w:rPr>
              <w:t>2.7536</w:t>
            </w:r>
          </w:p>
        </w:tc>
        <w:tc>
          <w:tcPr>
            <w:tcW w:w="0" w:type="auto"/>
            <w:tcBorders>
              <w:top w:val="nil"/>
              <w:left w:val="nil"/>
              <w:bottom w:val="nil"/>
              <w:right w:val="nil"/>
            </w:tcBorders>
            <w:shd w:val="clear" w:color="auto" w:fill="auto"/>
            <w:noWrap/>
            <w:vAlign w:val="center"/>
          </w:tcPr>
          <w:p w14:paraId="326C3E6F" w14:textId="77777777" w:rsidR="0065555D" w:rsidRPr="003463D2" w:rsidRDefault="0065555D" w:rsidP="007049D5">
            <w:pPr>
              <w:spacing w:line="240" w:lineRule="auto"/>
              <w:jc w:val="center"/>
              <w:rPr>
                <w:sz w:val="18"/>
                <w:szCs w:val="18"/>
              </w:rPr>
            </w:pPr>
            <w:r w:rsidRPr="003463D2">
              <w:rPr>
                <w:sz w:val="18"/>
                <w:szCs w:val="18"/>
              </w:rPr>
              <w:t>(10.3237)</w:t>
            </w:r>
          </w:p>
        </w:tc>
        <w:tc>
          <w:tcPr>
            <w:tcW w:w="0" w:type="auto"/>
            <w:tcBorders>
              <w:top w:val="nil"/>
              <w:left w:val="nil"/>
              <w:bottom w:val="nil"/>
              <w:right w:val="nil"/>
            </w:tcBorders>
            <w:vAlign w:val="center"/>
          </w:tcPr>
          <w:p w14:paraId="7DA4023C" w14:textId="77777777" w:rsidR="0065555D" w:rsidRPr="003463D2" w:rsidRDefault="0065555D" w:rsidP="007049D5">
            <w:pPr>
              <w:spacing w:line="240" w:lineRule="auto"/>
              <w:jc w:val="center"/>
              <w:rPr>
                <w:sz w:val="18"/>
                <w:szCs w:val="18"/>
              </w:rPr>
            </w:pPr>
            <w:r w:rsidRPr="003463D2">
              <w:rPr>
                <w:sz w:val="18"/>
                <w:szCs w:val="18"/>
              </w:rPr>
              <w:t>1.0298</w:t>
            </w:r>
          </w:p>
        </w:tc>
        <w:tc>
          <w:tcPr>
            <w:tcW w:w="0" w:type="auto"/>
            <w:tcBorders>
              <w:top w:val="nil"/>
              <w:left w:val="nil"/>
              <w:bottom w:val="nil"/>
              <w:right w:val="nil"/>
            </w:tcBorders>
            <w:vAlign w:val="center"/>
          </w:tcPr>
          <w:p w14:paraId="17F6B6CE" w14:textId="77777777" w:rsidR="0065555D" w:rsidRPr="003463D2" w:rsidRDefault="0065555D" w:rsidP="007049D5">
            <w:pPr>
              <w:spacing w:line="240" w:lineRule="auto"/>
              <w:jc w:val="center"/>
              <w:rPr>
                <w:sz w:val="18"/>
                <w:szCs w:val="18"/>
              </w:rPr>
            </w:pPr>
            <w:r w:rsidRPr="003463D2">
              <w:rPr>
                <w:sz w:val="18"/>
                <w:szCs w:val="18"/>
              </w:rPr>
              <w:t>2.8006</w:t>
            </w:r>
          </w:p>
        </w:tc>
        <w:tc>
          <w:tcPr>
            <w:tcW w:w="0" w:type="auto"/>
            <w:tcBorders>
              <w:top w:val="nil"/>
              <w:left w:val="nil"/>
              <w:bottom w:val="nil"/>
              <w:right w:val="nil"/>
            </w:tcBorders>
            <w:vAlign w:val="center"/>
          </w:tcPr>
          <w:p w14:paraId="6ECFABD0" w14:textId="77777777" w:rsidR="0065555D" w:rsidRPr="003463D2" w:rsidRDefault="0065555D" w:rsidP="007049D5">
            <w:pPr>
              <w:spacing w:line="240" w:lineRule="auto"/>
              <w:jc w:val="center"/>
              <w:rPr>
                <w:sz w:val="18"/>
                <w:szCs w:val="18"/>
              </w:rPr>
            </w:pPr>
            <w:r w:rsidRPr="003463D2">
              <w:rPr>
                <w:sz w:val="18"/>
                <w:szCs w:val="18"/>
              </w:rPr>
              <w:t>(10.6888)</w:t>
            </w:r>
          </w:p>
        </w:tc>
        <w:tc>
          <w:tcPr>
            <w:tcW w:w="0" w:type="auto"/>
            <w:tcBorders>
              <w:top w:val="nil"/>
              <w:left w:val="nil"/>
              <w:bottom w:val="nil"/>
              <w:right w:val="nil"/>
            </w:tcBorders>
            <w:shd w:val="clear" w:color="auto" w:fill="auto"/>
            <w:noWrap/>
            <w:vAlign w:val="center"/>
          </w:tcPr>
          <w:p w14:paraId="2FFF467F" w14:textId="77777777" w:rsidR="0065555D" w:rsidRPr="003463D2" w:rsidRDefault="0065555D" w:rsidP="007049D5">
            <w:pPr>
              <w:spacing w:line="240" w:lineRule="auto"/>
              <w:jc w:val="center"/>
              <w:rPr>
                <w:sz w:val="18"/>
                <w:szCs w:val="18"/>
              </w:rPr>
            </w:pPr>
            <w:r w:rsidRPr="003463D2">
              <w:rPr>
                <w:sz w:val="18"/>
                <w:szCs w:val="18"/>
              </w:rPr>
              <w:t>1.0353</w:t>
            </w:r>
          </w:p>
        </w:tc>
        <w:tc>
          <w:tcPr>
            <w:tcW w:w="0" w:type="auto"/>
            <w:tcBorders>
              <w:top w:val="nil"/>
              <w:left w:val="nil"/>
              <w:bottom w:val="nil"/>
              <w:right w:val="nil"/>
            </w:tcBorders>
            <w:shd w:val="clear" w:color="auto" w:fill="auto"/>
            <w:noWrap/>
            <w:vAlign w:val="center"/>
          </w:tcPr>
          <w:p w14:paraId="6F403A65" w14:textId="77777777" w:rsidR="0065555D" w:rsidRPr="003463D2" w:rsidRDefault="0065555D" w:rsidP="007049D5">
            <w:pPr>
              <w:spacing w:line="240" w:lineRule="auto"/>
              <w:jc w:val="center"/>
              <w:rPr>
                <w:sz w:val="18"/>
                <w:szCs w:val="18"/>
              </w:rPr>
            </w:pPr>
            <w:r w:rsidRPr="003463D2">
              <w:rPr>
                <w:sz w:val="18"/>
                <w:szCs w:val="18"/>
              </w:rPr>
              <w:t>2.8159</w:t>
            </w:r>
          </w:p>
        </w:tc>
        <w:tc>
          <w:tcPr>
            <w:tcW w:w="0" w:type="auto"/>
            <w:tcBorders>
              <w:top w:val="nil"/>
              <w:left w:val="nil"/>
              <w:bottom w:val="nil"/>
              <w:right w:val="nil"/>
            </w:tcBorders>
            <w:shd w:val="clear" w:color="auto" w:fill="auto"/>
            <w:noWrap/>
            <w:vAlign w:val="center"/>
          </w:tcPr>
          <w:p w14:paraId="0E0D20BE" w14:textId="77777777" w:rsidR="0065555D" w:rsidRPr="003463D2" w:rsidRDefault="0065555D" w:rsidP="007049D5">
            <w:pPr>
              <w:spacing w:line="240" w:lineRule="auto"/>
              <w:jc w:val="center"/>
              <w:rPr>
                <w:sz w:val="18"/>
                <w:szCs w:val="18"/>
              </w:rPr>
            </w:pPr>
            <w:r w:rsidRPr="003463D2">
              <w:rPr>
                <w:sz w:val="18"/>
                <w:szCs w:val="18"/>
              </w:rPr>
              <w:t>(10.9425)</w:t>
            </w:r>
          </w:p>
        </w:tc>
        <w:tc>
          <w:tcPr>
            <w:tcW w:w="0" w:type="auto"/>
            <w:tcBorders>
              <w:top w:val="nil"/>
              <w:left w:val="nil"/>
              <w:bottom w:val="nil"/>
              <w:right w:val="nil"/>
            </w:tcBorders>
            <w:shd w:val="clear" w:color="auto" w:fill="auto"/>
            <w:noWrap/>
            <w:vAlign w:val="center"/>
          </w:tcPr>
          <w:p w14:paraId="28ADC9CE" w14:textId="77777777" w:rsidR="0065555D" w:rsidRPr="003463D2" w:rsidRDefault="0065555D" w:rsidP="007049D5">
            <w:pPr>
              <w:spacing w:line="240" w:lineRule="auto"/>
              <w:jc w:val="center"/>
              <w:rPr>
                <w:sz w:val="18"/>
                <w:szCs w:val="18"/>
              </w:rPr>
            </w:pPr>
            <w:r w:rsidRPr="003463D2">
              <w:rPr>
                <w:sz w:val="18"/>
                <w:szCs w:val="18"/>
              </w:rPr>
              <w:t>1.0427</w:t>
            </w:r>
          </w:p>
        </w:tc>
        <w:tc>
          <w:tcPr>
            <w:tcW w:w="0" w:type="auto"/>
            <w:tcBorders>
              <w:top w:val="nil"/>
              <w:left w:val="nil"/>
              <w:bottom w:val="nil"/>
              <w:right w:val="nil"/>
            </w:tcBorders>
            <w:shd w:val="clear" w:color="auto" w:fill="auto"/>
            <w:noWrap/>
            <w:vAlign w:val="center"/>
          </w:tcPr>
          <w:p w14:paraId="2E23A0D4" w14:textId="77777777" w:rsidR="0065555D" w:rsidRPr="003463D2" w:rsidRDefault="0065555D" w:rsidP="007049D5">
            <w:pPr>
              <w:spacing w:line="240" w:lineRule="auto"/>
              <w:jc w:val="center"/>
              <w:rPr>
                <w:sz w:val="18"/>
                <w:szCs w:val="18"/>
              </w:rPr>
            </w:pPr>
            <w:r w:rsidRPr="003463D2">
              <w:rPr>
                <w:sz w:val="18"/>
                <w:szCs w:val="18"/>
              </w:rPr>
              <w:t>2.8369</w:t>
            </w:r>
          </w:p>
        </w:tc>
        <w:tc>
          <w:tcPr>
            <w:tcW w:w="0" w:type="auto"/>
            <w:tcBorders>
              <w:top w:val="nil"/>
              <w:left w:val="nil"/>
              <w:bottom w:val="nil"/>
              <w:right w:val="nil"/>
            </w:tcBorders>
            <w:shd w:val="clear" w:color="auto" w:fill="auto"/>
            <w:noWrap/>
            <w:vAlign w:val="center"/>
          </w:tcPr>
          <w:p w14:paraId="27DDB950" w14:textId="77777777" w:rsidR="0065555D" w:rsidRPr="003463D2" w:rsidRDefault="0065555D" w:rsidP="007049D5">
            <w:pPr>
              <w:spacing w:line="240" w:lineRule="auto"/>
              <w:jc w:val="center"/>
              <w:rPr>
                <w:sz w:val="18"/>
                <w:szCs w:val="18"/>
              </w:rPr>
            </w:pPr>
            <w:r w:rsidRPr="003463D2">
              <w:rPr>
                <w:sz w:val="18"/>
                <w:szCs w:val="18"/>
              </w:rPr>
              <w:t>(10.8923)</w:t>
            </w:r>
          </w:p>
        </w:tc>
      </w:tr>
      <w:tr w:rsidR="0065555D" w:rsidRPr="003463D2" w14:paraId="69A767F1" w14:textId="77777777" w:rsidTr="007049D5">
        <w:trPr>
          <w:trHeight w:val="264"/>
          <w:jc w:val="center"/>
        </w:trPr>
        <w:tc>
          <w:tcPr>
            <w:tcW w:w="3244" w:type="dxa"/>
            <w:tcBorders>
              <w:top w:val="nil"/>
              <w:left w:val="nil"/>
              <w:bottom w:val="nil"/>
              <w:right w:val="nil"/>
            </w:tcBorders>
            <w:shd w:val="clear" w:color="auto" w:fill="auto"/>
            <w:noWrap/>
            <w:vAlign w:val="center"/>
            <w:hideMark/>
          </w:tcPr>
          <w:p w14:paraId="24E179EA" w14:textId="77777777" w:rsidR="0065555D" w:rsidRPr="003463D2" w:rsidRDefault="0065555D" w:rsidP="007049D5">
            <w:pPr>
              <w:spacing w:after="0" w:line="240" w:lineRule="auto"/>
              <w:jc w:val="left"/>
              <w:rPr>
                <w:rFonts w:eastAsia="Times New Roman" w:cs="Times New Roman"/>
                <w:sz w:val="18"/>
                <w:szCs w:val="18"/>
              </w:rPr>
            </w:pPr>
            <w:r w:rsidRPr="003463D2">
              <w:rPr>
                <w:rFonts w:eastAsia="Times New Roman" w:cs="Times New Roman"/>
                <w:color w:val="000000"/>
                <w:sz w:val="18"/>
                <w:szCs w:val="18"/>
              </w:rPr>
              <w:t>Log(</w:t>
            </w:r>
            <w:r>
              <w:rPr>
                <w:rFonts w:eastAsia="Times New Roman" w:cs="Times New Roman"/>
                <w:color w:val="000000"/>
                <w:sz w:val="18"/>
                <w:szCs w:val="18"/>
              </w:rPr>
              <w:t xml:space="preserve">Real </w:t>
            </w:r>
            <w:r w:rsidRPr="003463D2">
              <w:rPr>
                <w:rFonts w:eastAsia="Times New Roman" w:cs="Times New Roman"/>
                <w:color w:val="000000"/>
                <w:sz w:val="18"/>
                <w:szCs w:val="18"/>
              </w:rPr>
              <w:t>Property Value)</w:t>
            </w:r>
          </w:p>
        </w:tc>
        <w:tc>
          <w:tcPr>
            <w:tcW w:w="0" w:type="auto"/>
            <w:tcBorders>
              <w:top w:val="nil"/>
              <w:left w:val="nil"/>
              <w:bottom w:val="nil"/>
              <w:right w:val="nil"/>
            </w:tcBorders>
            <w:shd w:val="clear" w:color="auto" w:fill="auto"/>
            <w:noWrap/>
            <w:vAlign w:val="center"/>
          </w:tcPr>
          <w:p w14:paraId="790EDEDF" w14:textId="77777777" w:rsidR="0065555D" w:rsidRPr="003463D2" w:rsidRDefault="0065555D" w:rsidP="007049D5">
            <w:pPr>
              <w:spacing w:line="240" w:lineRule="auto"/>
              <w:jc w:val="center"/>
              <w:rPr>
                <w:sz w:val="18"/>
                <w:szCs w:val="18"/>
              </w:rPr>
            </w:pPr>
            <w:r w:rsidRPr="003463D2">
              <w:rPr>
                <w:sz w:val="18"/>
                <w:szCs w:val="18"/>
              </w:rPr>
              <w:t>0.0037</w:t>
            </w:r>
          </w:p>
        </w:tc>
        <w:tc>
          <w:tcPr>
            <w:tcW w:w="0" w:type="auto"/>
            <w:tcBorders>
              <w:top w:val="nil"/>
              <w:left w:val="nil"/>
              <w:bottom w:val="nil"/>
              <w:right w:val="nil"/>
            </w:tcBorders>
            <w:shd w:val="clear" w:color="auto" w:fill="auto"/>
            <w:noWrap/>
            <w:vAlign w:val="center"/>
          </w:tcPr>
          <w:p w14:paraId="4A890992" w14:textId="77777777" w:rsidR="0065555D" w:rsidRPr="003463D2" w:rsidRDefault="0065555D" w:rsidP="007049D5">
            <w:pPr>
              <w:spacing w:line="240" w:lineRule="auto"/>
              <w:jc w:val="center"/>
              <w:rPr>
                <w:sz w:val="18"/>
                <w:szCs w:val="18"/>
              </w:rPr>
            </w:pPr>
            <w:r w:rsidRPr="003463D2">
              <w:rPr>
                <w:sz w:val="18"/>
                <w:szCs w:val="18"/>
              </w:rPr>
              <w:t>1.0037</w:t>
            </w:r>
          </w:p>
        </w:tc>
        <w:tc>
          <w:tcPr>
            <w:tcW w:w="0" w:type="auto"/>
            <w:tcBorders>
              <w:top w:val="nil"/>
              <w:left w:val="nil"/>
              <w:bottom w:val="nil"/>
              <w:right w:val="nil"/>
            </w:tcBorders>
            <w:shd w:val="clear" w:color="auto" w:fill="auto"/>
            <w:noWrap/>
            <w:vAlign w:val="center"/>
          </w:tcPr>
          <w:p w14:paraId="064109EC" w14:textId="77777777" w:rsidR="0065555D" w:rsidRPr="003463D2" w:rsidRDefault="0065555D" w:rsidP="007049D5">
            <w:pPr>
              <w:spacing w:line="240" w:lineRule="auto"/>
              <w:jc w:val="center"/>
              <w:rPr>
                <w:sz w:val="18"/>
                <w:szCs w:val="18"/>
              </w:rPr>
            </w:pPr>
            <w:r w:rsidRPr="003463D2">
              <w:rPr>
                <w:sz w:val="18"/>
                <w:szCs w:val="18"/>
              </w:rPr>
              <w:t>(0.1282)</w:t>
            </w:r>
          </w:p>
        </w:tc>
        <w:tc>
          <w:tcPr>
            <w:tcW w:w="0" w:type="auto"/>
            <w:tcBorders>
              <w:top w:val="nil"/>
              <w:left w:val="nil"/>
              <w:bottom w:val="nil"/>
              <w:right w:val="nil"/>
            </w:tcBorders>
            <w:vAlign w:val="center"/>
          </w:tcPr>
          <w:p w14:paraId="08265B16" w14:textId="77777777" w:rsidR="0065555D" w:rsidRPr="003463D2" w:rsidRDefault="0065555D" w:rsidP="007049D5">
            <w:pPr>
              <w:spacing w:line="240" w:lineRule="auto"/>
              <w:jc w:val="center"/>
              <w:rPr>
                <w:sz w:val="18"/>
                <w:szCs w:val="18"/>
              </w:rPr>
            </w:pPr>
            <w:r w:rsidRPr="003463D2">
              <w:rPr>
                <w:sz w:val="18"/>
                <w:szCs w:val="18"/>
              </w:rPr>
              <w:t>0.0065</w:t>
            </w:r>
          </w:p>
        </w:tc>
        <w:tc>
          <w:tcPr>
            <w:tcW w:w="0" w:type="auto"/>
            <w:tcBorders>
              <w:top w:val="nil"/>
              <w:left w:val="nil"/>
              <w:bottom w:val="nil"/>
              <w:right w:val="nil"/>
            </w:tcBorders>
            <w:vAlign w:val="center"/>
          </w:tcPr>
          <w:p w14:paraId="4280FEE2" w14:textId="77777777" w:rsidR="0065555D" w:rsidRPr="003463D2" w:rsidRDefault="0065555D" w:rsidP="007049D5">
            <w:pPr>
              <w:spacing w:line="240" w:lineRule="auto"/>
              <w:jc w:val="center"/>
              <w:rPr>
                <w:sz w:val="18"/>
                <w:szCs w:val="18"/>
              </w:rPr>
            </w:pPr>
            <w:r w:rsidRPr="003463D2">
              <w:rPr>
                <w:sz w:val="18"/>
                <w:szCs w:val="18"/>
              </w:rPr>
              <w:t>1.0065</w:t>
            </w:r>
          </w:p>
        </w:tc>
        <w:tc>
          <w:tcPr>
            <w:tcW w:w="0" w:type="auto"/>
            <w:tcBorders>
              <w:top w:val="nil"/>
              <w:left w:val="nil"/>
              <w:bottom w:val="nil"/>
              <w:right w:val="nil"/>
            </w:tcBorders>
            <w:vAlign w:val="center"/>
          </w:tcPr>
          <w:p w14:paraId="69BEFE2A" w14:textId="77777777" w:rsidR="0065555D" w:rsidRPr="003463D2" w:rsidRDefault="0065555D" w:rsidP="007049D5">
            <w:pPr>
              <w:spacing w:line="240" w:lineRule="auto"/>
              <w:jc w:val="center"/>
              <w:rPr>
                <w:sz w:val="18"/>
                <w:szCs w:val="18"/>
              </w:rPr>
            </w:pPr>
            <w:r w:rsidRPr="003463D2">
              <w:rPr>
                <w:sz w:val="18"/>
                <w:szCs w:val="18"/>
              </w:rPr>
              <w:t>(0.2234)</w:t>
            </w:r>
          </w:p>
        </w:tc>
        <w:tc>
          <w:tcPr>
            <w:tcW w:w="0" w:type="auto"/>
            <w:tcBorders>
              <w:top w:val="nil"/>
              <w:left w:val="nil"/>
              <w:bottom w:val="nil"/>
              <w:right w:val="nil"/>
            </w:tcBorders>
            <w:shd w:val="clear" w:color="auto" w:fill="auto"/>
            <w:noWrap/>
            <w:vAlign w:val="center"/>
          </w:tcPr>
          <w:p w14:paraId="5F2977D5" w14:textId="77777777" w:rsidR="0065555D" w:rsidRPr="003463D2" w:rsidRDefault="0065555D" w:rsidP="007049D5">
            <w:pPr>
              <w:spacing w:line="240" w:lineRule="auto"/>
              <w:jc w:val="center"/>
              <w:rPr>
                <w:sz w:val="18"/>
                <w:szCs w:val="18"/>
              </w:rPr>
            </w:pPr>
            <w:r w:rsidRPr="003463D2">
              <w:rPr>
                <w:sz w:val="18"/>
                <w:szCs w:val="18"/>
              </w:rPr>
              <w:t>0.0074</w:t>
            </w:r>
          </w:p>
        </w:tc>
        <w:tc>
          <w:tcPr>
            <w:tcW w:w="0" w:type="auto"/>
            <w:tcBorders>
              <w:top w:val="nil"/>
              <w:left w:val="nil"/>
              <w:bottom w:val="nil"/>
              <w:right w:val="nil"/>
            </w:tcBorders>
            <w:shd w:val="clear" w:color="auto" w:fill="auto"/>
            <w:noWrap/>
            <w:vAlign w:val="center"/>
          </w:tcPr>
          <w:p w14:paraId="54E719C4" w14:textId="77777777" w:rsidR="0065555D" w:rsidRPr="003463D2" w:rsidRDefault="0065555D" w:rsidP="007049D5">
            <w:pPr>
              <w:spacing w:line="240" w:lineRule="auto"/>
              <w:jc w:val="center"/>
              <w:rPr>
                <w:sz w:val="18"/>
                <w:szCs w:val="18"/>
              </w:rPr>
            </w:pPr>
            <w:r w:rsidRPr="003463D2">
              <w:rPr>
                <w:sz w:val="18"/>
                <w:szCs w:val="18"/>
              </w:rPr>
              <w:t>1.0074</w:t>
            </w:r>
          </w:p>
        </w:tc>
        <w:tc>
          <w:tcPr>
            <w:tcW w:w="0" w:type="auto"/>
            <w:tcBorders>
              <w:top w:val="nil"/>
              <w:left w:val="nil"/>
              <w:bottom w:val="nil"/>
              <w:right w:val="nil"/>
            </w:tcBorders>
            <w:shd w:val="clear" w:color="auto" w:fill="auto"/>
            <w:noWrap/>
            <w:vAlign w:val="center"/>
          </w:tcPr>
          <w:p w14:paraId="40D469EA" w14:textId="77777777" w:rsidR="0065555D" w:rsidRPr="003463D2" w:rsidRDefault="0065555D" w:rsidP="007049D5">
            <w:pPr>
              <w:spacing w:line="240" w:lineRule="auto"/>
              <w:jc w:val="center"/>
              <w:rPr>
                <w:sz w:val="18"/>
                <w:szCs w:val="18"/>
              </w:rPr>
            </w:pPr>
            <w:r w:rsidRPr="003463D2">
              <w:rPr>
                <w:sz w:val="18"/>
                <w:szCs w:val="18"/>
              </w:rPr>
              <w:t>(0.2434)</w:t>
            </w:r>
          </w:p>
        </w:tc>
        <w:tc>
          <w:tcPr>
            <w:tcW w:w="0" w:type="auto"/>
            <w:tcBorders>
              <w:top w:val="nil"/>
              <w:left w:val="nil"/>
              <w:bottom w:val="nil"/>
              <w:right w:val="nil"/>
            </w:tcBorders>
            <w:shd w:val="clear" w:color="auto" w:fill="auto"/>
            <w:noWrap/>
            <w:vAlign w:val="center"/>
          </w:tcPr>
          <w:p w14:paraId="2FF01D8F" w14:textId="77777777" w:rsidR="0065555D" w:rsidRPr="003463D2" w:rsidRDefault="0065555D" w:rsidP="007049D5">
            <w:pPr>
              <w:spacing w:line="240" w:lineRule="auto"/>
              <w:jc w:val="center"/>
              <w:rPr>
                <w:sz w:val="18"/>
                <w:szCs w:val="18"/>
              </w:rPr>
            </w:pPr>
            <w:r w:rsidRPr="003463D2">
              <w:rPr>
                <w:sz w:val="18"/>
                <w:szCs w:val="18"/>
              </w:rPr>
              <w:t>0.0828</w:t>
            </w:r>
          </w:p>
        </w:tc>
        <w:tc>
          <w:tcPr>
            <w:tcW w:w="0" w:type="auto"/>
            <w:tcBorders>
              <w:top w:val="nil"/>
              <w:left w:val="nil"/>
              <w:bottom w:val="nil"/>
              <w:right w:val="nil"/>
            </w:tcBorders>
            <w:shd w:val="clear" w:color="auto" w:fill="auto"/>
            <w:noWrap/>
            <w:vAlign w:val="center"/>
          </w:tcPr>
          <w:p w14:paraId="29AAD1D7" w14:textId="77777777" w:rsidR="0065555D" w:rsidRPr="003463D2" w:rsidRDefault="0065555D" w:rsidP="007049D5">
            <w:pPr>
              <w:spacing w:line="240" w:lineRule="auto"/>
              <w:jc w:val="center"/>
              <w:rPr>
                <w:sz w:val="18"/>
                <w:szCs w:val="18"/>
              </w:rPr>
            </w:pPr>
            <w:r w:rsidRPr="003463D2">
              <w:rPr>
                <w:sz w:val="18"/>
                <w:szCs w:val="18"/>
              </w:rPr>
              <w:t>1.0863</w:t>
            </w:r>
          </w:p>
        </w:tc>
        <w:tc>
          <w:tcPr>
            <w:tcW w:w="0" w:type="auto"/>
            <w:tcBorders>
              <w:top w:val="nil"/>
              <w:left w:val="nil"/>
              <w:bottom w:val="nil"/>
              <w:right w:val="nil"/>
            </w:tcBorders>
            <w:shd w:val="clear" w:color="auto" w:fill="auto"/>
            <w:noWrap/>
            <w:vAlign w:val="center"/>
          </w:tcPr>
          <w:p w14:paraId="1940E53F" w14:textId="77777777" w:rsidR="0065555D" w:rsidRPr="003463D2" w:rsidRDefault="0065555D" w:rsidP="007049D5">
            <w:pPr>
              <w:spacing w:line="240" w:lineRule="auto"/>
              <w:jc w:val="center"/>
              <w:rPr>
                <w:sz w:val="18"/>
                <w:szCs w:val="18"/>
              </w:rPr>
            </w:pPr>
            <w:r w:rsidRPr="003463D2">
              <w:rPr>
                <w:sz w:val="18"/>
                <w:szCs w:val="18"/>
              </w:rPr>
              <w:t>(2.4967)</w:t>
            </w:r>
          </w:p>
        </w:tc>
      </w:tr>
      <w:tr w:rsidR="0065555D" w:rsidRPr="003463D2" w14:paraId="7680CD86" w14:textId="77777777" w:rsidTr="007049D5">
        <w:trPr>
          <w:trHeight w:val="264"/>
          <w:jc w:val="center"/>
        </w:trPr>
        <w:tc>
          <w:tcPr>
            <w:tcW w:w="3244" w:type="dxa"/>
            <w:tcBorders>
              <w:top w:val="nil"/>
              <w:left w:val="nil"/>
              <w:bottom w:val="nil"/>
              <w:right w:val="nil"/>
            </w:tcBorders>
            <w:shd w:val="clear" w:color="auto" w:fill="auto"/>
            <w:noWrap/>
            <w:vAlign w:val="center"/>
            <w:hideMark/>
          </w:tcPr>
          <w:p w14:paraId="564B8262" w14:textId="77777777" w:rsidR="0065555D" w:rsidRPr="003463D2" w:rsidRDefault="0065555D" w:rsidP="007049D5">
            <w:pPr>
              <w:spacing w:after="0" w:line="240" w:lineRule="auto"/>
              <w:jc w:val="left"/>
              <w:rPr>
                <w:rFonts w:eastAsia="Times New Roman" w:cs="Times New Roman"/>
                <w:sz w:val="18"/>
                <w:szCs w:val="18"/>
              </w:rPr>
            </w:pPr>
            <w:r w:rsidRPr="003463D2">
              <w:rPr>
                <w:rFonts w:eastAsia="Times New Roman" w:cs="Times New Roman"/>
                <w:sz w:val="18"/>
                <w:szCs w:val="18"/>
              </w:rPr>
              <w:t>LTV (%)</w:t>
            </w:r>
          </w:p>
        </w:tc>
        <w:tc>
          <w:tcPr>
            <w:tcW w:w="0" w:type="auto"/>
            <w:tcBorders>
              <w:top w:val="nil"/>
              <w:left w:val="nil"/>
              <w:bottom w:val="nil"/>
              <w:right w:val="nil"/>
            </w:tcBorders>
            <w:shd w:val="clear" w:color="auto" w:fill="auto"/>
            <w:noWrap/>
            <w:vAlign w:val="center"/>
          </w:tcPr>
          <w:p w14:paraId="29D5D0C8" w14:textId="77777777" w:rsidR="0065555D" w:rsidRPr="003463D2" w:rsidRDefault="0065555D" w:rsidP="007049D5">
            <w:pPr>
              <w:spacing w:line="240" w:lineRule="auto"/>
              <w:jc w:val="center"/>
              <w:rPr>
                <w:sz w:val="18"/>
                <w:szCs w:val="18"/>
              </w:rPr>
            </w:pPr>
            <w:r w:rsidRPr="003463D2">
              <w:rPr>
                <w:sz w:val="18"/>
                <w:szCs w:val="18"/>
              </w:rPr>
              <w:t>0.0522</w:t>
            </w:r>
          </w:p>
        </w:tc>
        <w:tc>
          <w:tcPr>
            <w:tcW w:w="0" w:type="auto"/>
            <w:tcBorders>
              <w:top w:val="nil"/>
              <w:left w:val="nil"/>
              <w:bottom w:val="nil"/>
              <w:right w:val="nil"/>
            </w:tcBorders>
            <w:shd w:val="clear" w:color="auto" w:fill="auto"/>
            <w:noWrap/>
            <w:vAlign w:val="center"/>
          </w:tcPr>
          <w:p w14:paraId="0AB740B5" w14:textId="77777777" w:rsidR="0065555D" w:rsidRPr="003463D2" w:rsidRDefault="0065555D" w:rsidP="007049D5">
            <w:pPr>
              <w:spacing w:line="240" w:lineRule="auto"/>
              <w:jc w:val="center"/>
              <w:rPr>
                <w:sz w:val="18"/>
                <w:szCs w:val="18"/>
              </w:rPr>
            </w:pPr>
            <w:r w:rsidRPr="003463D2">
              <w:rPr>
                <w:sz w:val="18"/>
                <w:szCs w:val="18"/>
              </w:rPr>
              <w:t>1.0536</w:t>
            </w:r>
          </w:p>
        </w:tc>
        <w:tc>
          <w:tcPr>
            <w:tcW w:w="0" w:type="auto"/>
            <w:tcBorders>
              <w:top w:val="nil"/>
              <w:left w:val="nil"/>
              <w:bottom w:val="nil"/>
              <w:right w:val="nil"/>
            </w:tcBorders>
            <w:shd w:val="clear" w:color="auto" w:fill="auto"/>
            <w:noWrap/>
            <w:vAlign w:val="center"/>
          </w:tcPr>
          <w:p w14:paraId="333A0E23" w14:textId="77777777" w:rsidR="0065555D" w:rsidRPr="003463D2" w:rsidRDefault="0065555D" w:rsidP="007049D5">
            <w:pPr>
              <w:spacing w:line="240" w:lineRule="auto"/>
              <w:jc w:val="center"/>
              <w:rPr>
                <w:sz w:val="18"/>
                <w:szCs w:val="18"/>
              </w:rPr>
            </w:pPr>
            <w:r w:rsidRPr="003463D2">
              <w:rPr>
                <w:sz w:val="18"/>
                <w:szCs w:val="18"/>
              </w:rPr>
              <w:t>(10.7098)</w:t>
            </w:r>
          </w:p>
        </w:tc>
        <w:tc>
          <w:tcPr>
            <w:tcW w:w="0" w:type="auto"/>
            <w:tcBorders>
              <w:top w:val="nil"/>
              <w:left w:val="nil"/>
              <w:bottom w:val="nil"/>
              <w:right w:val="nil"/>
            </w:tcBorders>
            <w:vAlign w:val="center"/>
          </w:tcPr>
          <w:p w14:paraId="553D18E6" w14:textId="77777777" w:rsidR="0065555D" w:rsidRPr="003463D2" w:rsidRDefault="0065555D" w:rsidP="007049D5">
            <w:pPr>
              <w:spacing w:line="240" w:lineRule="auto"/>
              <w:jc w:val="center"/>
              <w:rPr>
                <w:sz w:val="18"/>
                <w:szCs w:val="18"/>
              </w:rPr>
            </w:pPr>
            <w:r w:rsidRPr="003463D2">
              <w:rPr>
                <w:sz w:val="18"/>
                <w:szCs w:val="18"/>
              </w:rPr>
              <w:t>0.0518</w:t>
            </w:r>
          </w:p>
        </w:tc>
        <w:tc>
          <w:tcPr>
            <w:tcW w:w="0" w:type="auto"/>
            <w:tcBorders>
              <w:top w:val="nil"/>
              <w:left w:val="nil"/>
              <w:bottom w:val="nil"/>
              <w:right w:val="nil"/>
            </w:tcBorders>
            <w:vAlign w:val="center"/>
          </w:tcPr>
          <w:p w14:paraId="23F114A3" w14:textId="77777777" w:rsidR="0065555D" w:rsidRPr="003463D2" w:rsidRDefault="0065555D" w:rsidP="007049D5">
            <w:pPr>
              <w:spacing w:line="240" w:lineRule="auto"/>
              <w:jc w:val="center"/>
              <w:rPr>
                <w:sz w:val="18"/>
                <w:szCs w:val="18"/>
              </w:rPr>
            </w:pPr>
            <w:r w:rsidRPr="003463D2">
              <w:rPr>
                <w:sz w:val="18"/>
                <w:szCs w:val="18"/>
              </w:rPr>
              <w:t>1.0532</w:t>
            </w:r>
          </w:p>
        </w:tc>
        <w:tc>
          <w:tcPr>
            <w:tcW w:w="0" w:type="auto"/>
            <w:tcBorders>
              <w:top w:val="nil"/>
              <w:left w:val="nil"/>
              <w:bottom w:val="nil"/>
              <w:right w:val="nil"/>
            </w:tcBorders>
            <w:vAlign w:val="center"/>
          </w:tcPr>
          <w:p w14:paraId="72B165F6" w14:textId="77777777" w:rsidR="0065555D" w:rsidRPr="003463D2" w:rsidRDefault="0065555D" w:rsidP="007049D5">
            <w:pPr>
              <w:spacing w:line="240" w:lineRule="auto"/>
              <w:jc w:val="center"/>
              <w:rPr>
                <w:sz w:val="18"/>
                <w:szCs w:val="18"/>
              </w:rPr>
            </w:pPr>
            <w:r w:rsidRPr="003463D2">
              <w:rPr>
                <w:sz w:val="18"/>
                <w:szCs w:val="18"/>
              </w:rPr>
              <w:t>(10.5587)</w:t>
            </w:r>
          </w:p>
        </w:tc>
        <w:tc>
          <w:tcPr>
            <w:tcW w:w="0" w:type="auto"/>
            <w:tcBorders>
              <w:top w:val="nil"/>
              <w:left w:val="nil"/>
              <w:bottom w:val="nil"/>
              <w:right w:val="nil"/>
            </w:tcBorders>
            <w:shd w:val="clear" w:color="auto" w:fill="auto"/>
            <w:noWrap/>
            <w:vAlign w:val="center"/>
          </w:tcPr>
          <w:p w14:paraId="1AA189C7" w14:textId="77777777" w:rsidR="0065555D" w:rsidRPr="003463D2" w:rsidRDefault="0065555D" w:rsidP="007049D5">
            <w:pPr>
              <w:spacing w:line="240" w:lineRule="auto"/>
              <w:jc w:val="center"/>
              <w:rPr>
                <w:sz w:val="18"/>
                <w:szCs w:val="18"/>
              </w:rPr>
            </w:pPr>
            <w:r w:rsidRPr="003463D2">
              <w:rPr>
                <w:sz w:val="18"/>
                <w:szCs w:val="18"/>
              </w:rPr>
              <w:t>0.0517</w:t>
            </w:r>
          </w:p>
        </w:tc>
        <w:tc>
          <w:tcPr>
            <w:tcW w:w="0" w:type="auto"/>
            <w:tcBorders>
              <w:top w:val="nil"/>
              <w:left w:val="nil"/>
              <w:bottom w:val="nil"/>
              <w:right w:val="nil"/>
            </w:tcBorders>
            <w:shd w:val="clear" w:color="auto" w:fill="auto"/>
            <w:noWrap/>
            <w:vAlign w:val="center"/>
          </w:tcPr>
          <w:p w14:paraId="422F5110" w14:textId="77777777" w:rsidR="0065555D" w:rsidRPr="003463D2" w:rsidRDefault="0065555D" w:rsidP="007049D5">
            <w:pPr>
              <w:spacing w:line="240" w:lineRule="auto"/>
              <w:jc w:val="center"/>
              <w:rPr>
                <w:sz w:val="18"/>
                <w:szCs w:val="18"/>
              </w:rPr>
            </w:pPr>
            <w:r w:rsidRPr="003463D2">
              <w:rPr>
                <w:sz w:val="18"/>
                <w:szCs w:val="18"/>
              </w:rPr>
              <w:t>1.0530</w:t>
            </w:r>
          </w:p>
        </w:tc>
        <w:tc>
          <w:tcPr>
            <w:tcW w:w="0" w:type="auto"/>
            <w:tcBorders>
              <w:top w:val="nil"/>
              <w:left w:val="nil"/>
              <w:bottom w:val="nil"/>
              <w:right w:val="nil"/>
            </w:tcBorders>
            <w:shd w:val="clear" w:color="auto" w:fill="auto"/>
            <w:noWrap/>
            <w:vAlign w:val="center"/>
          </w:tcPr>
          <w:p w14:paraId="2C45AE60" w14:textId="77777777" w:rsidR="0065555D" w:rsidRPr="003463D2" w:rsidRDefault="0065555D" w:rsidP="007049D5">
            <w:pPr>
              <w:spacing w:line="240" w:lineRule="auto"/>
              <w:jc w:val="center"/>
              <w:rPr>
                <w:sz w:val="18"/>
                <w:szCs w:val="18"/>
              </w:rPr>
            </w:pPr>
            <w:r w:rsidRPr="003463D2">
              <w:rPr>
                <w:sz w:val="18"/>
                <w:szCs w:val="18"/>
              </w:rPr>
              <w:t>(10.3990)</w:t>
            </w:r>
          </w:p>
        </w:tc>
        <w:tc>
          <w:tcPr>
            <w:tcW w:w="0" w:type="auto"/>
            <w:tcBorders>
              <w:top w:val="nil"/>
              <w:left w:val="nil"/>
              <w:bottom w:val="nil"/>
              <w:right w:val="nil"/>
            </w:tcBorders>
            <w:shd w:val="clear" w:color="auto" w:fill="auto"/>
            <w:noWrap/>
            <w:vAlign w:val="center"/>
          </w:tcPr>
          <w:p w14:paraId="083F715E" w14:textId="77777777" w:rsidR="0065555D" w:rsidRPr="003463D2" w:rsidRDefault="0065555D" w:rsidP="007049D5">
            <w:pPr>
              <w:spacing w:line="240" w:lineRule="auto"/>
              <w:jc w:val="center"/>
              <w:rPr>
                <w:sz w:val="18"/>
                <w:szCs w:val="18"/>
              </w:rPr>
            </w:pPr>
            <w:r w:rsidRPr="003463D2">
              <w:rPr>
                <w:sz w:val="18"/>
                <w:szCs w:val="18"/>
              </w:rPr>
              <w:t>0.0529</w:t>
            </w:r>
          </w:p>
        </w:tc>
        <w:tc>
          <w:tcPr>
            <w:tcW w:w="0" w:type="auto"/>
            <w:tcBorders>
              <w:top w:val="nil"/>
              <w:left w:val="nil"/>
              <w:bottom w:val="nil"/>
              <w:right w:val="nil"/>
            </w:tcBorders>
            <w:shd w:val="clear" w:color="auto" w:fill="auto"/>
            <w:noWrap/>
            <w:vAlign w:val="center"/>
          </w:tcPr>
          <w:p w14:paraId="04ECEA7C" w14:textId="77777777" w:rsidR="0065555D" w:rsidRPr="003463D2" w:rsidRDefault="0065555D" w:rsidP="007049D5">
            <w:pPr>
              <w:spacing w:line="240" w:lineRule="auto"/>
              <w:jc w:val="center"/>
              <w:rPr>
                <w:sz w:val="18"/>
                <w:szCs w:val="18"/>
              </w:rPr>
            </w:pPr>
            <w:r w:rsidRPr="003463D2">
              <w:rPr>
                <w:sz w:val="18"/>
                <w:szCs w:val="18"/>
              </w:rPr>
              <w:t>1.0544</w:t>
            </w:r>
          </w:p>
        </w:tc>
        <w:tc>
          <w:tcPr>
            <w:tcW w:w="0" w:type="auto"/>
            <w:tcBorders>
              <w:top w:val="nil"/>
              <w:left w:val="nil"/>
              <w:bottom w:val="nil"/>
              <w:right w:val="nil"/>
            </w:tcBorders>
            <w:shd w:val="clear" w:color="auto" w:fill="auto"/>
            <w:noWrap/>
            <w:vAlign w:val="center"/>
          </w:tcPr>
          <w:p w14:paraId="0FEC4787" w14:textId="77777777" w:rsidR="0065555D" w:rsidRPr="003463D2" w:rsidRDefault="0065555D" w:rsidP="007049D5">
            <w:pPr>
              <w:spacing w:line="240" w:lineRule="auto"/>
              <w:jc w:val="center"/>
              <w:rPr>
                <w:sz w:val="18"/>
                <w:szCs w:val="18"/>
              </w:rPr>
            </w:pPr>
            <w:r w:rsidRPr="003463D2">
              <w:rPr>
                <w:sz w:val="18"/>
                <w:szCs w:val="18"/>
              </w:rPr>
              <w:t>(10.9140)</w:t>
            </w:r>
          </w:p>
        </w:tc>
      </w:tr>
      <w:tr w:rsidR="0065555D" w:rsidRPr="003463D2" w14:paraId="08F85E37" w14:textId="77777777" w:rsidTr="007049D5">
        <w:trPr>
          <w:trHeight w:val="264"/>
          <w:jc w:val="center"/>
        </w:trPr>
        <w:tc>
          <w:tcPr>
            <w:tcW w:w="3244" w:type="dxa"/>
            <w:tcBorders>
              <w:top w:val="nil"/>
              <w:left w:val="nil"/>
              <w:bottom w:val="nil"/>
              <w:right w:val="nil"/>
            </w:tcBorders>
            <w:shd w:val="clear" w:color="auto" w:fill="auto"/>
            <w:noWrap/>
            <w:vAlign w:val="center"/>
            <w:hideMark/>
          </w:tcPr>
          <w:p w14:paraId="46597275" w14:textId="77777777" w:rsidR="0065555D" w:rsidRPr="003463D2" w:rsidRDefault="0065555D" w:rsidP="007049D5">
            <w:pPr>
              <w:spacing w:after="0" w:line="240" w:lineRule="auto"/>
              <w:jc w:val="left"/>
              <w:rPr>
                <w:rFonts w:eastAsia="Times New Roman" w:cs="Times New Roman"/>
                <w:color w:val="000000"/>
                <w:sz w:val="18"/>
                <w:szCs w:val="18"/>
              </w:rPr>
            </w:pPr>
            <w:r w:rsidRPr="003463D2">
              <w:rPr>
                <w:rFonts w:eastAsia="Times New Roman" w:cs="Times New Roman"/>
                <w:color w:val="000000"/>
                <w:sz w:val="18"/>
                <w:szCs w:val="18"/>
              </w:rPr>
              <w:t>NOI / Prop Value</w:t>
            </w:r>
          </w:p>
        </w:tc>
        <w:tc>
          <w:tcPr>
            <w:tcW w:w="0" w:type="auto"/>
            <w:tcBorders>
              <w:top w:val="nil"/>
              <w:left w:val="nil"/>
              <w:bottom w:val="nil"/>
              <w:right w:val="nil"/>
            </w:tcBorders>
            <w:shd w:val="clear" w:color="auto" w:fill="auto"/>
            <w:noWrap/>
            <w:vAlign w:val="center"/>
          </w:tcPr>
          <w:p w14:paraId="7088D82E" w14:textId="77777777" w:rsidR="0065555D" w:rsidRPr="003463D2" w:rsidRDefault="0065555D" w:rsidP="007049D5">
            <w:pPr>
              <w:spacing w:line="240" w:lineRule="auto"/>
              <w:jc w:val="center"/>
              <w:rPr>
                <w:sz w:val="18"/>
                <w:szCs w:val="18"/>
              </w:rPr>
            </w:pPr>
            <w:r w:rsidRPr="003463D2">
              <w:rPr>
                <w:sz w:val="18"/>
                <w:szCs w:val="18"/>
              </w:rPr>
              <w:t>-4.9369</w:t>
            </w:r>
          </w:p>
        </w:tc>
        <w:tc>
          <w:tcPr>
            <w:tcW w:w="0" w:type="auto"/>
            <w:tcBorders>
              <w:top w:val="nil"/>
              <w:left w:val="nil"/>
              <w:bottom w:val="nil"/>
              <w:right w:val="nil"/>
            </w:tcBorders>
            <w:shd w:val="clear" w:color="auto" w:fill="auto"/>
            <w:noWrap/>
            <w:vAlign w:val="center"/>
          </w:tcPr>
          <w:p w14:paraId="4CDA4935" w14:textId="77777777" w:rsidR="0065555D" w:rsidRPr="003463D2" w:rsidRDefault="0065555D" w:rsidP="007049D5">
            <w:pPr>
              <w:spacing w:line="240" w:lineRule="auto"/>
              <w:jc w:val="center"/>
              <w:rPr>
                <w:sz w:val="18"/>
                <w:szCs w:val="18"/>
              </w:rPr>
            </w:pPr>
            <w:r w:rsidRPr="003463D2">
              <w:rPr>
                <w:sz w:val="18"/>
                <w:szCs w:val="18"/>
              </w:rPr>
              <w:t>0.0072</w:t>
            </w:r>
          </w:p>
        </w:tc>
        <w:tc>
          <w:tcPr>
            <w:tcW w:w="0" w:type="auto"/>
            <w:tcBorders>
              <w:top w:val="nil"/>
              <w:left w:val="nil"/>
              <w:bottom w:val="nil"/>
              <w:right w:val="nil"/>
            </w:tcBorders>
            <w:shd w:val="clear" w:color="auto" w:fill="auto"/>
            <w:noWrap/>
            <w:vAlign w:val="center"/>
          </w:tcPr>
          <w:p w14:paraId="6D3750B1" w14:textId="77777777" w:rsidR="0065555D" w:rsidRPr="003463D2" w:rsidRDefault="0065555D" w:rsidP="007049D5">
            <w:pPr>
              <w:spacing w:line="240" w:lineRule="auto"/>
              <w:jc w:val="center"/>
              <w:rPr>
                <w:sz w:val="18"/>
                <w:szCs w:val="18"/>
              </w:rPr>
            </w:pPr>
            <w:r w:rsidRPr="003463D2">
              <w:rPr>
                <w:sz w:val="18"/>
                <w:szCs w:val="18"/>
              </w:rPr>
              <w:t>(-1.1756)</w:t>
            </w:r>
          </w:p>
        </w:tc>
        <w:tc>
          <w:tcPr>
            <w:tcW w:w="0" w:type="auto"/>
            <w:tcBorders>
              <w:top w:val="nil"/>
              <w:left w:val="nil"/>
              <w:bottom w:val="nil"/>
              <w:right w:val="nil"/>
            </w:tcBorders>
            <w:vAlign w:val="center"/>
          </w:tcPr>
          <w:p w14:paraId="7E1F795A" w14:textId="77777777" w:rsidR="0065555D" w:rsidRPr="003463D2" w:rsidRDefault="0065555D" w:rsidP="007049D5">
            <w:pPr>
              <w:spacing w:line="240" w:lineRule="auto"/>
              <w:jc w:val="center"/>
              <w:rPr>
                <w:sz w:val="18"/>
                <w:szCs w:val="18"/>
              </w:rPr>
            </w:pPr>
            <w:r w:rsidRPr="003463D2">
              <w:rPr>
                <w:sz w:val="18"/>
                <w:szCs w:val="18"/>
              </w:rPr>
              <w:t>-6.0859</w:t>
            </w:r>
          </w:p>
        </w:tc>
        <w:tc>
          <w:tcPr>
            <w:tcW w:w="0" w:type="auto"/>
            <w:tcBorders>
              <w:top w:val="nil"/>
              <w:left w:val="nil"/>
              <w:bottom w:val="nil"/>
              <w:right w:val="nil"/>
            </w:tcBorders>
            <w:vAlign w:val="center"/>
          </w:tcPr>
          <w:p w14:paraId="187F76FF" w14:textId="77777777" w:rsidR="0065555D" w:rsidRPr="003463D2" w:rsidRDefault="0065555D" w:rsidP="007049D5">
            <w:pPr>
              <w:spacing w:line="240" w:lineRule="auto"/>
              <w:jc w:val="center"/>
              <w:rPr>
                <w:sz w:val="18"/>
                <w:szCs w:val="18"/>
              </w:rPr>
            </w:pPr>
            <w:r w:rsidRPr="003463D2">
              <w:rPr>
                <w:sz w:val="18"/>
                <w:szCs w:val="18"/>
              </w:rPr>
              <w:t>0.0023</w:t>
            </w:r>
          </w:p>
        </w:tc>
        <w:tc>
          <w:tcPr>
            <w:tcW w:w="0" w:type="auto"/>
            <w:tcBorders>
              <w:top w:val="nil"/>
              <w:left w:val="nil"/>
              <w:bottom w:val="nil"/>
              <w:right w:val="nil"/>
            </w:tcBorders>
            <w:vAlign w:val="center"/>
          </w:tcPr>
          <w:p w14:paraId="6D04CD81" w14:textId="77777777" w:rsidR="0065555D" w:rsidRPr="003463D2" w:rsidRDefault="0065555D" w:rsidP="007049D5">
            <w:pPr>
              <w:spacing w:line="240" w:lineRule="auto"/>
              <w:jc w:val="center"/>
              <w:rPr>
                <w:sz w:val="18"/>
                <w:szCs w:val="18"/>
              </w:rPr>
            </w:pPr>
            <w:r w:rsidRPr="003463D2">
              <w:rPr>
                <w:sz w:val="18"/>
                <w:szCs w:val="18"/>
              </w:rPr>
              <w:t>(-1.5004)</w:t>
            </w:r>
          </w:p>
        </w:tc>
        <w:tc>
          <w:tcPr>
            <w:tcW w:w="0" w:type="auto"/>
            <w:tcBorders>
              <w:top w:val="nil"/>
              <w:left w:val="nil"/>
              <w:bottom w:val="nil"/>
              <w:right w:val="nil"/>
            </w:tcBorders>
            <w:shd w:val="clear" w:color="auto" w:fill="auto"/>
            <w:noWrap/>
            <w:vAlign w:val="center"/>
          </w:tcPr>
          <w:p w14:paraId="6C4CC8E5" w14:textId="77777777" w:rsidR="0065555D" w:rsidRPr="003463D2" w:rsidRDefault="0065555D" w:rsidP="007049D5">
            <w:pPr>
              <w:spacing w:line="240" w:lineRule="auto"/>
              <w:jc w:val="center"/>
              <w:rPr>
                <w:sz w:val="18"/>
                <w:szCs w:val="18"/>
              </w:rPr>
            </w:pPr>
            <w:r w:rsidRPr="003463D2">
              <w:rPr>
                <w:sz w:val="18"/>
                <w:szCs w:val="18"/>
              </w:rPr>
              <w:t>-6.1316</w:t>
            </w:r>
          </w:p>
        </w:tc>
        <w:tc>
          <w:tcPr>
            <w:tcW w:w="0" w:type="auto"/>
            <w:tcBorders>
              <w:top w:val="nil"/>
              <w:left w:val="nil"/>
              <w:bottom w:val="nil"/>
              <w:right w:val="nil"/>
            </w:tcBorders>
            <w:shd w:val="clear" w:color="auto" w:fill="auto"/>
            <w:noWrap/>
            <w:vAlign w:val="center"/>
          </w:tcPr>
          <w:p w14:paraId="58C3DCEB" w14:textId="77777777" w:rsidR="0065555D" w:rsidRPr="003463D2" w:rsidRDefault="0065555D" w:rsidP="007049D5">
            <w:pPr>
              <w:spacing w:line="240" w:lineRule="auto"/>
              <w:jc w:val="center"/>
              <w:rPr>
                <w:sz w:val="18"/>
                <w:szCs w:val="18"/>
              </w:rPr>
            </w:pPr>
            <w:r w:rsidRPr="003463D2">
              <w:rPr>
                <w:sz w:val="18"/>
                <w:szCs w:val="18"/>
              </w:rPr>
              <w:t>0.0022</w:t>
            </w:r>
          </w:p>
        </w:tc>
        <w:tc>
          <w:tcPr>
            <w:tcW w:w="0" w:type="auto"/>
            <w:tcBorders>
              <w:top w:val="nil"/>
              <w:left w:val="nil"/>
              <w:bottom w:val="nil"/>
              <w:right w:val="nil"/>
            </w:tcBorders>
            <w:shd w:val="clear" w:color="auto" w:fill="auto"/>
            <w:noWrap/>
            <w:vAlign w:val="center"/>
          </w:tcPr>
          <w:p w14:paraId="6CFF1A94" w14:textId="77777777" w:rsidR="0065555D" w:rsidRPr="003463D2" w:rsidRDefault="0065555D" w:rsidP="007049D5">
            <w:pPr>
              <w:spacing w:line="240" w:lineRule="auto"/>
              <w:jc w:val="center"/>
              <w:rPr>
                <w:sz w:val="18"/>
                <w:szCs w:val="18"/>
              </w:rPr>
            </w:pPr>
            <w:r w:rsidRPr="003463D2">
              <w:rPr>
                <w:sz w:val="18"/>
                <w:szCs w:val="18"/>
              </w:rPr>
              <w:t>(-1.5131)</w:t>
            </w:r>
          </w:p>
        </w:tc>
        <w:tc>
          <w:tcPr>
            <w:tcW w:w="0" w:type="auto"/>
            <w:tcBorders>
              <w:top w:val="nil"/>
              <w:left w:val="nil"/>
              <w:bottom w:val="nil"/>
              <w:right w:val="nil"/>
            </w:tcBorders>
            <w:shd w:val="clear" w:color="auto" w:fill="auto"/>
            <w:noWrap/>
            <w:vAlign w:val="center"/>
          </w:tcPr>
          <w:p w14:paraId="11AB9F99" w14:textId="77777777" w:rsidR="0065555D" w:rsidRPr="003463D2" w:rsidRDefault="0065555D" w:rsidP="007049D5">
            <w:pPr>
              <w:spacing w:line="240" w:lineRule="auto"/>
              <w:jc w:val="center"/>
              <w:rPr>
                <w:sz w:val="18"/>
                <w:szCs w:val="18"/>
              </w:rPr>
            </w:pPr>
            <w:r w:rsidRPr="003463D2">
              <w:rPr>
                <w:sz w:val="18"/>
                <w:szCs w:val="18"/>
              </w:rPr>
              <w:t>-7.1696</w:t>
            </w:r>
          </w:p>
        </w:tc>
        <w:tc>
          <w:tcPr>
            <w:tcW w:w="0" w:type="auto"/>
            <w:tcBorders>
              <w:top w:val="nil"/>
              <w:left w:val="nil"/>
              <w:bottom w:val="nil"/>
              <w:right w:val="nil"/>
            </w:tcBorders>
            <w:shd w:val="clear" w:color="auto" w:fill="auto"/>
            <w:noWrap/>
            <w:vAlign w:val="center"/>
          </w:tcPr>
          <w:p w14:paraId="00165F91" w14:textId="77777777" w:rsidR="0065555D" w:rsidRPr="003463D2" w:rsidRDefault="0065555D" w:rsidP="007049D5">
            <w:pPr>
              <w:spacing w:line="240" w:lineRule="auto"/>
              <w:jc w:val="center"/>
              <w:rPr>
                <w:sz w:val="18"/>
                <w:szCs w:val="18"/>
              </w:rPr>
            </w:pPr>
            <w:r w:rsidRPr="003463D2">
              <w:rPr>
                <w:sz w:val="18"/>
                <w:szCs w:val="18"/>
              </w:rPr>
              <w:t>0.0008</w:t>
            </w:r>
          </w:p>
        </w:tc>
        <w:tc>
          <w:tcPr>
            <w:tcW w:w="0" w:type="auto"/>
            <w:tcBorders>
              <w:top w:val="nil"/>
              <w:left w:val="nil"/>
              <w:bottom w:val="nil"/>
              <w:right w:val="nil"/>
            </w:tcBorders>
            <w:shd w:val="clear" w:color="auto" w:fill="auto"/>
            <w:noWrap/>
            <w:vAlign w:val="center"/>
          </w:tcPr>
          <w:p w14:paraId="755CECE1" w14:textId="77777777" w:rsidR="0065555D" w:rsidRPr="003463D2" w:rsidRDefault="0065555D" w:rsidP="007049D5">
            <w:pPr>
              <w:spacing w:line="240" w:lineRule="auto"/>
              <w:jc w:val="center"/>
              <w:rPr>
                <w:sz w:val="18"/>
                <w:szCs w:val="18"/>
              </w:rPr>
            </w:pPr>
            <w:r w:rsidRPr="003463D2">
              <w:rPr>
                <w:sz w:val="18"/>
                <w:szCs w:val="18"/>
              </w:rPr>
              <w:t>(-1.7947)</w:t>
            </w:r>
          </w:p>
        </w:tc>
      </w:tr>
      <w:tr w:rsidR="0065555D" w:rsidRPr="003463D2" w14:paraId="1B2C0BEA" w14:textId="77777777" w:rsidTr="007049D5">
        <w:trPr>
          <w:trHeight w:val="264"/>
          <w:jc w:val="center"/>
        </w:trPr>
        <w:tc>
          <w:tcPr>
            <w:tcW w:w="3244" w:type="dxa"/>
            <w:tcBorders>
              <w:top w:val="nil"/>
              <w:left w:val="nil"/>
              <w:bottom w:val="nil"/>
              <w:right w:val="nil"/>
            </w:tcBorders>
            <w:shd w:val="clear" w:color="auto" w:fill="auto"/>
            <w:noWrap/>
            <w:vAlign w:val="center"/>
            <w:hideMark/>
          </w:tcPr>
          <w:p w14:paraId="3B432971" w14:textId="77777777" w:rsidR="0065555D" w:rsidRPr="003463D2" w:rsidRDefault="0065555D" w:rsidP="007049D5">
            <w:pPr>
              <w:spacing w:after="0" w:line="240" w:lineRule="auto"/>
              <w:jc w:val="left"/>
              <w:rPr>
                <w:rFonts w:eastAsia="Times New Roman" w:cs="Times New Roman"/>
                <w:color w:val="000000"/>
                <w:sz w:val="18"/>
                <w:szCs w:val="18"/>
              </w:rPr>
            </w:pPr>
            <w:r w:rsidRPr="003463D2">
              <w:rPr>
                <w:rFonts w:eastAsia="Times New Roman" w:cs="Times New Roman"/>
                <w:color w:val="000000"/>
                <w:sz w:val="18"/>
                <w:szCs w:val="18"/>
              </w:rPr>
              <w:t>Occupancy Rate</w:t>
            </w:r>
          </w:p>
        </w:tc>
        <w:tc>
          <w:tcPr>
            <w:tcW w:w="0" w:type="auto"/>
            <w:tcBorders>
              <w:top w:val="nil"/>
              <w:left w:val="nil"/>
              <w:bottom w:val="nil"/>
              <w:right w:val="nil"/>
            </w:tcBorders>
            <w:shd w:val="clear" w:color="auto" w:fill="auto"/>
            <w:noWrap/>
            <w:vAlign w:val="center"/>
          </w:tcPr>
          <w:p w14:paraId="1A999624" w14:textId="77777777" w:rsidR="0065555D" w:rsidRPr="003463D2" w:rsidRDefault="0065555D" w:rsidP="007049D5">
            <w:pPr>
              <w:spacing w:line="240" w:lineRule="auto"/>
              <w:jc w:val="center"/>
              <w:rPr>
                <w:sz w:val="18"/>
                <w:szCs w:val="18"/>
              </w:rPr>
            </w:pPr>
            <w:r w:rsidRPr="003463D2">
              <w:rPr>
                <w:sz w:val="18"/>
                <w:szCs w:val="18"/>
              </w:rPr>
              <w:t>-0.0150</w:t>
            </w:r>
          </w:p>
        </w:tc>
        <w:tc>
          <w:tcPr>
            <w:tcW w:w="0" w:type="auto"/>
            <w:tcBorders>
              <w:top w:val="nil"/>
              <w:left w:val="nil"/>
              <w:bottom w:val="nil"/>
              <w:right w:val="nil"/>
            </w:tcBorders>
            <w:shd w:val="clear" w:color="auto" w:fill="auto"/>
            <w:noWrap/>
            <w:vAlign w:val="center"/>
          </w:tcPr>
          <w:p w14:paraId="11219E80" w14:textId="77777777" w:rsidR="0065555D" w:rsidRPr="003463D2" w:rsidRDefault="0065555D" w:rsidP="007049D5">
            <w:pPr>
              <w:spacing w:line="240" w:lineRule="auto"/>
              <w:jc w:val="center"/>
              <w:rPr>
                <w:sz w:val="18"/>
                <w:szCs w:val="18"/>
              </w:rPr>
            </w:pPr>
            <w:r w:rsidRPr="003463D2">
              <w:rPr>
                <w:sz w:val="18"/>
                <w:szCs w:val="18"/>
              </w:rPr>
              <w:t>0.9851</w:t>
            </w:r>
          </w:p>
        </w:tc>
        <w:tc>
          <w:tcPr>
            <w:tcW w:w="0" w:type="auto"/>
            <w:tcBorders>
              <w:top w:val="nil"/>
              <w:left w:val="nil"/>
              <w:bottom w:val="nil"/>
              <w:right w:val="nil"/>
            </w:tcBorders>
            <w:shd w:val="clear" w:color="auto" w:fill="auto"/>
            <w:noWrap/>
            <w:vAlign w:val="center"/>
          </w:tcPr>
          <w:p w14:paraId="51CA498C" w14:textId="77777777" w:rsidR="0065555D" w:rsidRPr="003463D2" w:rsidRDefault="0065555D" w:rsidP="007049D5">
            <w:pPr>
              <w:spacing w:line="240" w:lineRule="auto"/>
              <w:jc w:val="center"/>
              <w:rPr>
                <w:sz w:val="18"/>
                <w:szCs w:val="18"/>
              </w:rPr>
            </w:pPr>
            <w:r w:rsidRPr="003463D2">
              <w:rPr>
                <w:sz w:val="18"/>
                <w:szCs w:val="18"/>
              </w:rPr>
              <w:t>(-2.4249)</w:t>
            </w:r>
          </w:p>
        </w:tc>
        <w:tc>
          <w:tcPr>
            <w:tcW w:w="0" w:type="auto"/>
            <w:tcBorders>
              <w:top w:val="nil"/>
              <w:left w:val="nil"/>
              <w:bottom w:val="nil"/>
              <w:right w:val="nil"/>
            </w:tcBorders>
            <w:vAlign w:val="center"/>
          </w:tcPr>
          <w:p w14:paraId="587470C6" w14:textId="77777777" w:rsidR="0065555D" w:rsidRPr="003463D2" w:rsidRDefault="0065555D" w:rsidP="007049D5">
            <w:pPr>
              <w:spacing w:line="240" w:lineRule="auto"/>
              <w:jc w:val="center"/>
              <w:rPr>
                <w:sz w:val="18"/>
                <w:szCs w:val="18"/>
              </w:rPr>
            </w:pPr>
            <w:r w:rsidRPr="003463D2">
              <w:rPr>
                <w:sz w:val="18"/>
                <w:szCs w:val="18"/>
              </w:rPr>
              <w:t>-0.0157</w:t>
            </w:r>
          </w:p>
        </w:tc>
        <w:tc>
          <w:tcPr>
            <w:tcW w:w="0" w:type="auto"/>
            <w:tcBorders>
              <w:top w:val="nil"/>
              <w:left w:val="nil"/>
              <w:bottom w:val="nil"/>
              <w:right w:val="nil"/>
            </w:tcBorders>
            <w:vAlign w:val="center"/>
          </w:tcPr>
          <w:p w14:paraId="061751DF" w14:textId="77777777" w:rsidR="0065555D" w:rsidRPr="003463D2" w:rsidRDefault="0065555D" w:rsidP="007049D5">
            <w:pPr>
              <w:spacing w:line="240" w:lineRule="auto"/>
              <w:jc w:val="center"/>
              <w:rPr>
                <w:sz w:val="18"/>
                <w:szCs w:val="18"/>
              </w:rPr>
            </w:pPr>
            <w:r w:rsidRPr="003463D2">
              <w:rPr>
                <w:sz w:val="18"/>
                <w:szCs w:val="18"/>
              </w:rPr>
              <w:t>0.9844</w:t>
            </w:r>
          </w:p>
        </w:tc>
        <w:tc>
          <w:tcPr>
            <w:tcW w:w="0" w:type="auto"/>
            <w:tcBorders>
              <w:top w:val="nil"/>
              <w:left w:val="nil"/>
              <w:bottom w:val="nil"/>
              <w:right w:val="nil"/>
            </w:tcBorders>
            <w:vAlign w:val="center"/>
          </w:tcPr>
          <w:p w14:paraId="47AC87BE" w14:textId="77777777" w:rsidR="0065555D" w:rsidRPr="003463D2" w:rsidRDefault="0065555D" w:rsidP="007049D5">
            <w:pPr>
              <w:spacing w:line="240" w:lineRule="auto"/>
              <w:jc w:val="center"/>
              <w:rPr>
                <w:sz w:val="18"/>
                <w:szCs w:val="18"/>
              </w:rPr>
            </w:pPr>
            <w:r w:rsidRPr="003463D2">
              <w:rPr>
                <w:sz w:val="18"/>
                <w:szCs w:val="18"/>
              </w:rPr>
              <w:t>(-2.4728)</w:t>
            </w:r>
          </w:p>
        </w:tc>
        <w:tc>
          <w:tcPr>
            <w:tcW w:w="0" w:type="auto"/>
            <w:tcBorders>
              <w:top w:val="nil"/>
              <w:left w:val="nil"/>
              <w:bottom w:val="nil"/>
              <w:right w:val="nil"/>
            </w:tcBorders>
            <w:shd w:val="clear" w:color="auto" w:fill="auto"/>
            <w:noWrap/>
            <w:vAlign w:val="center"/>
          </w:tcPr>
          <w:p w14:paraId="40E0528C" w14:textId="77777777" w:rsidR="0065555D" w:rsidRPr="003463D2" w:rsidRDefault="0065555D" w:rsidP="007049D5">
            <w:pPr>
              <w:spacing w:line="240" w:lineRule="auto"/>
              <w:jc w:val="center"/>
              <w:rPr>
                <w:sz w:val="18"/>
                <w:szCs w:val="18"/>
              </w:rPr>
            </w:pPr>
            <w:r w:rsidRPr="003463D2">
              <w:rPr>
                <w:sz w:val="18"/>
                <w:szCs w:val="18"/>
              </w:rPr>
              <w:t>-0.0163</w:t>
            </w:r>
          </w:p>
        </w:tc>
        <w:tc>
          <w:tcPr>
            <w:tcW w:w="0" w:type="auto"/>
            <w:tcBorders>
              <w:top w:val="nil"/>
              <w:left w:val="nil"/>
              <w:bottom w:val="nil"/>
              <w:right w:val="nil"/>
            </w:tcBorders>
            <w:shd w:val="clear" w:color="auto" w:fill="auto"/>
            <w:noWrap/>
            <w:vAlign w:val="center"/>
          </w:tcPr>
          <w:p w14:paraId="78CBAC7B" w14:textId="77777777" w:rsidR="0065555D" w:rsidRPr="003463D2" w:rsidRDefault="0065555D" w:rsidP="007049D5">
            <w:pPr>
              <w:spacing w:line="240" w:lineRule="auto"/>
              <w:jc w:val="center"/>
              <w:rPr>
                <w:sz w:val="18"/>
                <w:szCs w:val="18"/>
              </w:rPr>
            </w:pPr>
            <w:r w:rsidRPr="003463D2">
              <w:rPr>
                <w:sz w:val="18"/>
                <w:szCs w:val="18"/>
              </w:rPr>
              <w:t>0.9839</w:t>
            </w:r>
          </w:p>
        </w:tc>
        <w:tc>
          <w:tcPr>
            <w:tcW w:w="0" w:type="auto"/>
            <w:tcBorders>
              <w:top w:val="nil"/>
              <w:left w:val="nil"/>
              <w:bottom w:val="nil"/>
              <w:right w:val="nil"/>
            </w:tcBorders>
            <w:shd w:val="clear" w:color="auto" w:fill="auto"/>
            <w:noWrap/>
            <w:vAlign w:val="center"/>
          </w:tcPr>
          <w:p w14:paraId="38A4F2E7" w14:textId="77777777" w:rsidR="0065555D" w:rsidRPr="003463D2" w:rsidRDefault="0065555D" w:rsidP="007049D5">
            <w:pPr>
              <w:spacing w:line="240" w:lineRule="auto"/>
              <w:jc w:val="center"/>
              <w:rPr>
                <w:sz w:val="18"/>
                <w:szCs w:val="18"/>
              </w:rPr>
            </w:pPr>
            <w:r w:rsidRPr="003463D2">
              <w:rPr>
                <w:sz w:val="18"/>
                <w:szCs w:val="18"/>
              </w:rPr>
              <w:t>(-2.7170)</w:t>
            </w:r>
          </w:p>
        </w:tc>
        <w:tc>
          <w:tcPr>
            <w:tcW w:w="0" w:type="auto"/>
            <w:tcBorders>
              <w:top w:val="nil"/>
              <w:left w:val="nil"/>
              <w:bottom w:val="nil"/>
              <w:right w:val="nil"/>
            </w:tcBorders>
            <w:shd w:val="clear" w:color="auto" w:fill="auto"/>
            <w:noWrap/>
            <w:vAlign w:val="center"/>
          </w:tcPr>
          <w:p w14:paraId="2B076A73" w14:textId="77777777" w:rsidR="0065555D" w:rsidRPr="003463D2" w:rsidRDefault="0065555D" w:rsidP="007049D5">
            <w:pPr>
              <w:spacing w:line="240" w:lineRule="auto"/>
              <w:jc w:val="center"/>
              <w:rPr>
                <w:sz w:val="18"/>
                <w:szCs w:val="18"/>
              </w:rPr>
            </w:pPr>
            <w:r w:rsidRPr="003463D2">
              <w:rPr>
                <w:sz w:val="18"/>
                <w:szCs w:val="18"/>
              </w:rPr>
              <w:t>-0.0169</w:t>
            </w:r>
          </w:p>
        </w:tc>
        <w:tc>
          <w:tcPr>
            <w:tcW w:w="0" w:type="auto"/>
            <w:tcBorders>
              <w:top w:val="nil"/>
              <w:left w:val="nil"/>
              <w:bottom w:val="nil"/>
              <w:right w:val="nil"/>
            </w:tcBorders>
            <w:shd w:val="clear" w:color="auto" w:fill="auto"/>
            <w:noWrap/>
            <w:vAlign w:val="center"/>
          </w:tcPr>
          <w:p w14:paraId="568B9225" w14:textId="77777777" w:rsidR="0065555D" w:rsidRPr="003463D2" w:rsidRDefault="0065555D" w:rsidP="007049D5">
            <w:pPr>
              <w:spacing w:line="240" w:lineRule="auto"/>
              <w:jc w:val="center"/>
              <w:rPr>
                <w:sz w:val="18"/>
                <w:szCs w:val="18"/>
              </w:rPr>
            </w:pPr>
            <w:r w:rsidRPr="003463D2">
              <w:rPr>
                <w:sz w:val="18"/>
                <w:szCs w:val="18"/>
              </w:rPr>
              <w:t>0.9832</w:t>
            </w:r>
          </w:p>
        </w:tc>
        <w:tc>
          <w:tcPr>
            <w:tcW w:w="0" w:type="auto"/>
            <w:tcBorders>
              <w:top w:val="nil"/>
              <w:left w:val="nil"/>
              <w:bottom w:val="nil"/>
              <w:right w:val="nil"/>
            </w:tcBorders>
            <w:shd w:val="clear" w:color="auto" w:fill="auto"/>
            <w:noWrap/>
            <w:vAlign w:val="center"/>
          </w:tcPr>
          <w:p w14:paraId="43728383" w14:textId="77777777" w:rsidR="0065555D" w:rsidRPr="003463D2" w:rsidRDefault="0065555D" w:rsidP="007049D5">
            <w:pPr>
              <w:spacing w:line="240" w:lineRule="auto"/>
              <w:jc w:val="center"/>
              <w:rPr>
                <w:sz w:val="18"/>
                <w:szCs w:val="18"/>
              </w:rPr>
            </w:pPr>
            <w:r w:rsidRPr="003463D2">
              <w:rPr>
                <w:sz w:val="18"/>
                <w:szCs w:val="18"/>
              </w:rPr>
              <w:t>(-2.8053)</w:t>
            </w:r>
          </w:p>
        </w:tc>
      </w:tr>
      <w:tr w:rsidR="0065555D" w:rsidRPr="003463D2" w14:paraId="18128603" w14:textId="77777777" w:rsidTr="007049D5">
        <w:trPr>
          <w:trHeight w:val="264"/>
          <w:jc w:val="center"/>
        </w:trPr>
        <w:tc>
          <w:tcPr>
            <w:tcW w:w="3244" w:type="dxa"/>
            <w:tcBorders>
              <w:top w:val="nil"/>
              <w:left w:val="nil"/>
              <w:bottom w:val="nil"/>
              <w:right w:val="nil"/>
            </w:tcBorders>
            <w:shd w:val="clear" w:color="auto" w:fill="auto"/>
            <w:noWrap/>
            <w:vAlign w:val="center"/>
            <w:hideMark/>
          </w:tcPr>
          <w:p w14:paraId="03D1C2E3" w14:textId="77777777" w:rsidR="0065555D" w:rsidRPr="003463D2" w:rsidRDefault="0065555D" w:rsidP="007049D5">
            <w:pPr>
              <w:spacing w:after="0" w:line="240" w:lineRule="auto"/>
              <w:jc w:val="left"/>
              <w:rPr>
                <w:rFonts w:eastAsia="Times New Roman" w:cs="Times New Roman"/>
                <w:color w:val="000000"/>
                <w:sz w:val="18"/>
                <w:szCs w:val="18"/>
              </w:rPr>
            </w:pPr>
            <w:r w:rsidRPr="003463D2">
              <w:rPr>
                <w:rFonts w:eastAsia="Times New Roman" w:cs="Times New Roman"/>
                <w:color w:val="000000"/>
                <w:sz w:val="18"/>
                <w:szCs w:val="18"/>
              </w:rPr>
              <w:t>Amortization Rate</w:t>
            </w:r>
          </w:p>
        </w:tc>
        <w:tc>
          <w:tcPr>
            <w:tcW w:w="0" w:type="auto"/>
            <w:tcBorders>
              <w:top w:val="nil"/>
              <w:left w:val="nil"/>
              <w:bottom w:val="nil"/>
              <w:right w:val="nil"/>
            </w:tcBorders>
            <w:shd w:val="clear" w:color="auto" w:fill="auto"/>
            <w:noWrap/>
            <w:vAlign w:val="center"/>
          </w:tcPr>
          <w:p w14:paraId="212E3EC1" w14:textId="77777777" w:rsidR="0065555D" w:rsidRPr="003463D2" w:rsidRDefault="0065555D" w:rsidP="007049D5">
            <w:pPr>
              <w:spacing w:line="240" w:lineRule="auto"/>
              <w:jc w:val="center"/>
              <w:rPr>
                <w:sz w:val="18"/>
                <w:szCs w:val="18"/>
              </w:rPr>
            </w:pPr>
            <w:r w:rsidRPr="003463D2">
              <w:rPr>
                <w:sz w:val="18"/>
                <w:szCs w:val="18"/>
              </w:rPr>
              <w:t>0.2875</w:t>
            </w:r>
          </w:p>
        </w:tc>
        <w:tc>
          <w:tcPr>
            <w:tcW w:w="0" w:type="auto"/>
            <w:tcBorders>
              <w:top w:val="nil"/>
              <w:left w:val="nil"/>
              <w:bottom w:val="nil"/>
              <w:right w:val="nil"/>
            </w:tcBorders>
            <w:shd w:val="clear" w:color="auto" w:fill="auto"/>
            <w:noWrap/>
            <w:vAlign w:val="center"/>
          </w:tcPr>
          <w:p w14:paraId="062A461D" w14:textId="77777777" w:rsidR="0065555D" w:rsidRPr="003463D2" w:rsidRDefault="0065555D" w:rsidP="007049D5">
            <w:pPr>
              <w:spacing w:line="240" w:lineRule="auto"/>
              <w:jc w:val="center"/>
              <w:rPr>
                <w:sz w:val="18"/>
                <w:szCs w:val="18"/>
              </w:rPr>
            </w:pPr>
            <w:r w:rsidRPr="003463D2">
              <w:rPr>
                <w:sz w:val="18"/>
                <w:szCs w:val="18"/>
              </w:rPr>
              <w:t>1.3331</w:t>
            </w:r>
          </w:p>
        </w:tc>
        <w:tc>
          <w:tcPr>
            <w:tcW w:w="0" w:type="auto"/>
            <w:tcBorders>
              <w:top w:val="nil"/>
              <w:left w:val="nil"/>
              <w:bottom w:val="nil"/>
              <w:right w:val="nil"/>
            </w:tcBorders>
            <w:shd w:val="clear" w:color="auto" w:fill="auto"/>
            <w:noWrap/>
            <w:vAlign w:val="center"/>
          </w:tcPr>
          <w:p w14:paraId="1ED06B67" w14:textId="77777777" w:rsidR="0065555D" w:rsidRPr="003463D2" w:rsidRDefault="0065555D" w:rsidP="007049D5">
            <w:pPr>
              <w:spacing w:line="240" w:lineRule="auto"/>
              <w:jc w:val="center"/>
              <w:rPr>
                <w:sz w:val="18"/>
                <w:szCs w:val="18"/>
              </w:rPr>
            </w:pPr>
            <w:r w:rsidRPr="003463D2">
              <w:rPr>
                <w:sz w:val="18"/>
                <w:szCs w:val="18"/>
              </w:rPr>
              <w:t>(0.9025)</w:t>
            </w:r>
          </w:p>
        </w:tc>
        <w:tc>
          <w:tcPr>
            <w:tcW w:w="0" w:type="auto"/>
            <w:tcBorders>
              <w:top w:val="nil"/>
              <w:left w:val="nil"/>
              <w:bottom w:val="nil"/>
              <w:right w:val="nil"/>
            </w:tcBorders>
            <w:vAlign w:val="center"/>
          </w:tcPr>
          <w:p w14:paraId="3CB50FFB" w14:textId="77777777" w:rsidR="0065555D" w:rsidRPr="003463D2" w:rsidRDefault="0065555D" w:rsidP="007049D5">
            <w:pPr>
              <w:spacing w:line="240" w:lineRule="auto"/>
              <w:jc w:val="center"/>
              <w:rPr>
                <w:sz w:val="18"/>
                <w:szCs w:val="18"/>
              </w:rPr>
            </w:pPr>
            <w:r w:rsidRPr="003463D2">
              <w:rPr>
                <w:sz w:val="18"/>
                <w:szCs w:val="18"/>
              </w:rPr>
              <w:t>0.3354</w:t>
            </w:r>
          </w:p>
        </w:tc>
        <w:tc>
          <w:tcPr>
            <w:tcW w:w="0" w:type="auto"/>
            <w:tcBorders>
              <w:top w:val="nil"/>
              <w:left w:val="nil"/>
              <w:bottom w:val="nil"/>
              <w:right w:val="nil"/>
            </w:tcBorders>
            <w:vAlign w:val="center"/>
          </w:tcPr>
          <w:p w14:paraId="0932E78E" w14:textId="77777777" w:rsidR="0065555D" w:rsidRPr="003463D2" w:rsidRDefault="0065555D" w:rsidP="007049D5">
            <w:pPr>
              <w:spacing w:line="240" w:lineRule="auto"/>
              <w:jc w:val="center"/>
              <w:rPr>
                <w:sz w:val="18"/>
                <w:szCs w:val="18"/>
              </w:rPr>
            </w:pPr>
            <w:r w:rsidRPr="003463D2">
              <w:rPr>
                <w:sz w:val="18"/>
                <w:szCs w:val="18"/>
              </w:rPr>
              <w:t>1.3985</w:t>
            </w:r>
          </w:p>
        </w:tc>
        <w:tc>
          <w:tcPr>
            <w:tcW w:w="0" w:type="auto"/>
            <w:tcBorders>
              <w:top w:val="nil"/>
              <w:left w:val="nil"/>
              <w:bottom w:val="nil"/>
              <w:right w:val="nil"/>
            </w:tcBorders>
            <w:vAlign w:val="center"/>
          </w:tcPr>
          <w:p w14:paraId="00E9DE20" w14:textId="77777777" w:rsidR="0065555D" w:rsidRPr="003463D2" w:rsidRDefault="0065555D" w:rsidP="007049D5">
            <w:pPr>
              <w:spacing w:line="240" w:lineRule="auto"/>
              <w:jc w:val="center"/>
              <w:rPr>
                <w:sz w:val="18"/>
                <w:szCs w:val="18"/>
              </w:rPr>
            </w:pPr>
            <w:r w:rsidRPr="003463D2">
              <w:rPr>
                <w:sz w:val="18"/>
                <w:szCs w:val="18"/>
              </w:rPr>
              <w:t>(1.0543)</w:t>
            </w:r>
          </w:p>
        </w:tc>
        <w:tc>
          <w:tcPr>
            <w:tcW w:w="0" w:type="auto"/>
            <w:tcBorders>
              <w:top w:val="nil"/>
              <w:left w:val="nil"/>
              <w:bottom w:val="nil"/>
              <w:right w:val="nil"/>
            </w:tcBorders>
            <w:shd w:val="clear" w:color="auto" w:fill="auto"/>
            <w:noWrap/>
            <w:vAlign w:val="center"/>
          </w:tcPr>
          <w:p w14:paraId="26FB1332" w14:textId="77777777" w:rsidR="0065555D" w:rsidRPr="003463D2" w:rsidRDefault="0065555D" w:rsidP="007049D5">
            <w:pPr>
              <w:spacing w:line="240" w:lineRule="auto"/>
              <w:jc w:val="center"/>
              <w:rPr>
                <w:sz w:val="18"/>
                <w:szCs w:val="18"/>
              </w:rPr>
            </w:pPr>
            <w:r w:rsidRPr="003463D2">
              <w:rPr>
                <w:sz w:val="18"/>
                <w:szCs w:val="18"/>
              </w:rPr>
              <w:t>0.3300</w:t>
            </w:r>
          </w:p>
        </w:tc>
        <w:tc>
          <w:tcPr>
            <w:tcW w:w="0" w:type="auto"/>
            <w:tcBorders>
              <w:top w:val="nil"/>
              <w:left w:val="nil"/>
              <w:bottom w:val="nil"/>
              <w:right w:val="nil"/>
            </w:tcBorders>
            <w:shd w:val="clear" w:color="auto" w:fill="auto"/>
            <w:noWrap/>
            <w:vAlign w:val="center"/>
          </w:tcPr>
          <w:p w14:paraId="091C2708" w14:textId="77777777" w:rsidR="0065555D" w:rsidRPr="003463D2" w:rsidRDefault="0065555D" w:rsidP="007049D5">
            <w:pPr>
              <w:spacing w:line="240" w:lineRule="auto"/>
              <w:jc w:val="center"/>
              <w:rPr>
                <w:sz w:val="18"/>
                <w:szCs w:val="18"/>
              </w:rPr>
            </w:pPr>
            <w:r w:rsidRPr="003463D2">
              <w:rPr>
                <w:sz w:val="18"/>
                <w:szCs w:val="18"/>
              </w:rPr>
              <w:t>1.3910</w:t>
            </w:r>
          </w:p>
        </w:tc>
        <w:tc>
          <w:tcPr>
            <w:tcW w:w="0" w:type="auto"/>
            <w:tcBorders>
              <w:top w:val="nil"/>
              <w:left w:val="nil"/>
              <w:bottom w:val="nil"/>
              <w:right w:val="nil"/>
            </w:tcBorders>
            <w:shd w:val="clear" w:color="auto" w:fill="auto"/>
            <w:noWrap/>
            <w:vAlign w:val="center"/>
          </w:tcPr>
          <w:p w14:paraId="18120FEC" w14:textId="77777777" w:rsidR="0065555D" w:rsidRPr="003463D2" w:rsidRDefault="0065555D" w:rsidP="007049D5">
            <w:pPr>
              <w:spacing w:line="240" w:lineRule="auto"/>
              <w:jc w:val="center"/>
              <w:rPr>
                <w:sz w:val="18"/>
                <w:szCs w:val="18"/>
              </w:rPr>
            </w:pPr>
            <w:r w:rsidRPr="003463D2">
              <w:rPr>
                <w:sz w:val="18"/>
                <w:szCs w:val="18"/>
              </w:rPr>
              <w:t>(1.0462)</w:t>
            </w:r>
          </w:p>
        </w:tc>
        <w:tc>
          <w:tcPr>
            <w:tcW w:w="0" w:type="auto"/>
            <w:tcBorders>
              <w:top w:val="nil"/>
              <w:left w:val="nil"/>
              <w:bottom w:val="nil"/>
              <w:right w:val="nil"/>
            </w:tcBorders>
            <w:shd w:val="clear" w:color="auto" w:fill="auto"/>
            <w:noWrap/>
            <w:vAlign w:val="center"/>
          </w:tcPr>
          <w:p w14:paraId="07F9A0CD" w14:textId="77777777" w:rsidR="0065555D" w:rsidRPr="003463D2" w:rsidRDefault="0065555D" w:rsidP="007049D5">
            <w:pPr>
              <w:spacing w:line="240" w:lineRule="auto"/>
              <w:jc w:val="center"/>
              <w:rPr>
                <w:sz w:val="18"/>
                <w:szCs w:val="18"/>
              </w:rPr>
            </w:pPr>
            <w:r w:rsidRPr="003463D2">
              <w:rPr>
                <w:sz w:val="18"/>
                <w:szCs w:val="18"/>
              </w:rPr>
              <w:t>0.3747</w:t>
            </w:r>
          </w:p>
        </w:tc>
        <w:tc>
          <w:tcPr>
            <w:tcW w:w="0" w:type="auto"/>
            <w:tcBorders>
              <w:top w:val="nil"/>
              <w:left w:val="nil"/>
              <w:bottom w:val="nil"/>
              <w:right w:val="nil"/>
            </w:tcBorders>
            <w:shd w:val="clear" w:color="auto" w:fill="auto"/>
            <w:noWrap/>
            <w:vAlign w:val="center"/>
          </w:tcPr>
          <w:p w14:paraId="0E9A7BF4" w14:textId="77777777" w:rsidR="0065555D" w:rsidRPr="003463D2" w:rsidRDefault="0065555D" w:rsidP="007049D5">
            <w:pPr>
              <w:spacing w:line="240" w:lineRule="auto"/>
              <w:jc w:val="center"/>
              <w:rPr>
                <w:sz w:val="18"/>
                <w:szCs w:val="18"/>
              </w:rPr>
            </w:pPr>
            <w:r w:rsidRPr="003463D2">
              <w:rPr>
                <w:sz w:val="18"/>
                <w:szCs w:val="18"/>
              </w:rPr>
              <w:t>1.4545</w:t>
            </w:r>
          </w:p>
        </w:tc>
        <w:tc>
          <w:tcPr>
            <w:tcW w:w="0" w:type="auto"/>
            <w:tcBorders>
              <w:top w:val="nil"/>
              <w:left w:val="nil"/>
              <w:bottom w:val="nil"/>
              <w:right w:val="nil"/>
            </w:tcBorders>
            <w:shd w:val="clear" w:color="auto" w:fill="auto"/>
            <w:noWrap/>
            <w:vAlign w:val="center"/>
          </w:tcPr>
          <w:p w14:paraId="5792068F" w14:textId="77777777" w:rsidR="0065555D" w:rsidRPr="003463D2" w:rsidRDefault="0065555D" w:rsidP="007049D5">
            <w:pPr>
              <w:spacing w:line="240" w:lineRule="auto"/>
              <w:jc w:val="center"/>
              <w:rPr>
                <w:sz w:val="18"/>
                <w:szCs w:val="18"/>
              </w:rPr>
            </w:pPr>
            <w:r w:rsidRPr="003463D2">
              <w:rPr>
                <w:sz w:val="18"/>
                <w:szCs w:val="18"/>
              </w:rPr>
              <w:t>(1.1986)</w:t>
            </w:r>
          </w:p>
        </w:tc>
      </w:tr>
      <w:tr w:rsidR="0065555D" w:rsidRPr="003463D2" w14:paraId="0BA1E1C3" w14:textId="77777777" w:rsidTr="007049D5">
        <w:trPr>
          <w:trHeight w:val="264"/>
          <w:jc w:val="center"/>
        </w:trPr>
        <w:tc>
          <w:tcPr>
            <w:tcW w:w="3244" w:type="dxa"/>
            <w:tcBorders>
              <w:top w:val="nil"/>
              <w:left w:val="nil"/>
              <w:bottom w:val="nil"/>
              <w:right w:val="nil"/>
            </w:tcBorders>
            <w:shd w:val="clear" w:color="auto" w:fill="auto"/>
            <w:noWrap/>
            <w:vAlign w:val="center"/>
            <w:hideMark/>
          </w:tcPr>
          <w:p w14:paraId="19ABEC05" w14:textId="77777777" w:rsidR="0065555D" w:rsidRPr="003463D2" w:rsidRDefault="0065555D" w:rsidP="007049D5">
            <w:pPr>
              <w:spacing w:after="0" w:line="240" w:lineRule="auto"/>
              <w:jc w:val="left"/>
              <w:rPr>
                <w:rFonts w:eastAsia="Times New Roman" w:cs="Times New Roman"/>
                <w:color w:val="000000"/>
                <w:sz w:val="18"/>
                <w:szCs w:val="18"/>
              </w:rPr>
            </w:pPr>
            <w:r w:rsidRPr="003463D2">
              <w:rPr>
                <w:rFonts w:eastAsia="Times New Roman" w:cs="Times New Roman"/>
                <w:color w:val="000000"/>
                <w:sz w:val="18"/>
                <w:szCs w:val="18"/>
              </w:rPr>
              <w:t>Log(Property Age)</w:t>
            </w:r>
          </w:p>
        </w:tc>
        <w:tc>
          <w:tcPr>
            <w:tcW w:w="0" w:type="auto"/>
            <w:tcBorders>
              <w:top w:val="nil"/>
              <w:left w:val="nil"/>
              <w:bottom w:val="nil"/>
              <w:right w:val="nil"/>
            </w:tcBorders>
            <w:shd w:val="clear" w:color="auto" w:fill="auto"/>
            <w:noWrap/>
            <w:vAlign w:val="center"/>
          </w:tcPr>
          <w:p w14:paraId="738A47DE" w14:textId="77777777" w:rsidR="0065555D" w:rsidRPr="003463D2" w:rsidRDefault="0065555D" w:rsidP="007049D5">
            <w:pPr>
              <w:spacing w:line="240" w:lineRule="auto"/>
              <w:jc w:val="center"/>
              <w:rPr>
                <w:sz w:val="18"/>
                <w:szCs w:val="18"/>
              </w:rPr>
            </w:pPr>
            <w:r w:rsidRPr="003463D2">
              <w:rPr>
                <w:sz w:val="18"/>
                <w:szCs w:val="18"/>
              </w:rPr>
              <w:t>-0.1891</w:t>
            </w:r>
          </w:p>
        </w:tc>
        <w:tc>
          <w:tcPr>
            <w:tcW w:w="0" w:type="auto"/>
            <w:tcBorders>
              <w:top w:val="nil"/>
              <w:left w:val="nil"/>
              <w:bottom w:val="nil"/>
              <w:right w:val="nil"/>
            </w:tcBorders>
            <w:shd w:val="clear" w:color="auto" w:fill="auto"/>
            <w:noWrap/>
            <w:vAlign w:val="center"/>
          </w:tcPr>
          <w:p w14:paraId="1AF3F780" w14:textId="77777777" w:rsidR="0065555D" w:rsidRPr="003463D2" w:rsidRDefault="0065555D" w:rsidP="007049D5">
            <w:pPr>
              <w:spacing w:line="240" w:lineRule="auto"/>
              <w:jc w:val="center"/>
              <w:rPr>
                <w:sz w:val="18"/>
                <w:szCs w:val="18"/>
              </w:rPr>
            </w:pPr>
            <w:r w:rsidRPr="003463D2">
              <w:rPr>
                <w:sz w:val="18"/>
                <w:szCs w:val="18"/>
              </w:rPr>
              <w:t>0.8277</w:t>
            </w:r>
          </w:p>
        </w:tc>
        <w:tc>
          <w:tcPr>
            <w:tcW w:w="0" w:type="auto"/>
            <w:tcBorders>
              <w:top w:val="nil"/>
              <w:left w:val="nil"/>
              <w:bottom w:val="nil"/>
              <w:right w:val="nil"/>
            </w:tcBorders>
            <w:shd w:val="clear" w:color="auto" w:fill="auto"/>
            <w:noWrap/>
            <w:vAlign w:val="center"/>
          </w:tcPr>
          <w:p w14:paraId="1C6ABA0D" w14:textId="77777777" w:rsidR="0065555D" w:rsidRPr="003463D2" w:rsidRDefault="0065555D" w:rsidP="007049D5">
            <w:pPr>
              <w:spacing w:line="240" w:lineRule="auto"/>
              <w:jc w:val="center"/>
              <w:rPr>
                <w:sz w:val="18"/>
                <w:szCs w:val="18"/>
              </w:rPr>
            </w:pPr>
            <w:r w:rsidRPr="003463D2">
              <w:rPr>
                <w:sz w:val="18"/>
                <w:szCs w:val="18"/>
              </w:rPr>
              <w:t>(-7.2241)</w:t>
            </w:r>
          </w:p>
        </w:tc>
        <w:tc>
          <w:tcPr>
            <w:tcW w:w="0" w:type="auto"/>
            <w:tcBorders>
              <w:top w:val="nil"/>
              <w:left w:val="nil"/>
              <w:bottom w:val="nil"/>
              <w:right w:val="nil"/>
            </w:tcBorders>
            <w:vAlign w:val="center"/>
          </w:tcPr>
          <w:p w14:paraId="45704250" w14:textId="77777777" w:rsidR="0065555D" w:rsidRPr="003463D2" w:rsidRDefault="0065555D" w:rsidP="007049D5">
            <w:pPr>
              <w:spacing w:line="240" w:lineRule="auto"/>
              <w:jc w:val="center"/>
              <w:rPr>
                <w:sz w:val="18"/>
                <w:szCs w:val="18"/>
              </w:rPr>
            </w:pPr>
            <w:r w:rsidRPr="003463D2">
              <w:rPr>
                <w:sz w:val="18"/>
                <w:szCs w:val="18"/>
              </w:rPr>
              <w:t>-0.1954</w:t>
            </w:r>
          </w:p>
        </w:tc>
        <w:tc>
          <w:tcPr>
            <w:tcW w:w="0" w:type="auto"/>
            <w:tcBorders>
              <w:top w:val="nil"/>
              <w:left w:val="nil"/>
              <w:bottom w:val="nil"/>
              <w:right w:val="nil"/>
            </w:tcBorders>
            <w:vAlign w:val="center"/>
          </w:tcPr>
          <w:p w14:paraId="7EACDCBD" w14:textId="77777777" w:rsidR="0065555D" w:rsidRPr="003463D2" w:rsidRDefault="0065555D" w:rsidP="007049D5">
            <w:pPr>
              <w:spacing w:line="240" w:lineRule="auto"/>
              <w:jc w:val="center"/>
              <w:rPr>
                <w:sz w:val="18"/>
                <w:szCs w:val="18"/>
              </w:rPr>
            </w:pPr>
            <w:r w:rsidRPr="003463D2">
              <w:rPr>
                <w:sz w:val="18"/>
                <w:szCs w:val="18"/>
              </w:rPr>
              <w:t>0.8225</w:t>
            </w:r>
          </w:p>
        </w:tc>
        <w:tc>
          <w:tcPr>
            <w:tcW w:w="0" w:type="auto"/>
            <w:tcBorders>
              <w:top w:val="nil"/>
              <w:left w:val="nil"/>
              <w:bottom w:val="nil"/>
              <w:right w:val="nil"/>
            </w:tcBorders>
            <w:vAlign w:val="center"/>
          </w:tcPr>
          <w:p w14:paraId="489D2B28" w14:textId="77777777" w:rsidR="0065555D" w:rsidRPr="003463D2" w:rsidRDefault="0065555D" w:rsidP="007049D5">
            <w:pPr>
              <w:spacing w:line="240" w:lineRule="auto"/>
              <w:jc w:val="center"/>
              <w:rPr>
                <w:sz w:val="18"/>
                <w:szCs w:val="18"/>
              </w:rPr>
            </w:pPr>
            <w:r w:rsidRPr="003463D2">
              <w:rPr>
                <w:sz w:val="18"/>
                <w:szCs w:val="18"/>
              </w:rPr>
              <w:t>(-7.4967)</w:t>
            </w:r>
          </w:p>
        </w:tc>
        <w:tc>
          <w:tcPr>
            <w:tcW w:w="0" w:type="auto"/>
            <w:tcBorders>
              <w:top w:val="nil"/>
              <w:left w:val="nil"/>
              <w:bottom w:val="nil"/>
              <w:right w:val="nil"/>
            </w:tcBorders>
            <w:shd w:val="clear" w:color="auto" w:fill="auto"/>
            <w:noWrap/>
            <w:vAlign w:val="center"/>
          </w:tcPr>
          <w:p w14:paraId="508D77F8" w14:textId="77777777" w:rsidR="0065555D" w:rsidRPr="003463D2" w:rsidRDefault="0065555D" w:rsidP="007049D5">
            <w:pPr>
              <w:spacing w:line="240" w:lineRule="auto"/>
              <w:jc w:val="center"/>
              <w:rPr>
                <w:sz w:val="18"/>
                <w:szCs w:val="18"/>
              </w:rPr>
            </w:pPr>
            <w:r w:rsidRPr="003463D2">
              <w:rPr>
                <w:sz w:val="18"/>
                <w:szCs w:val="18"/>
              </w:rPr>
              <w:t>-0.1972</w:t>
            </w:r>
          </w:p>
        </w:tc>
        <w:tc>
          <w:tcPr>
            <w:tcW w:w="0" w:type="auto"/>
            <w:tcBorders>
              <w:top w:val="nil"/>
              <w:left w:val="nil"/>
              <w:bottom w:val="nil"/>
              <w:right w:val="nil"/>
            </w:tcBorders>
            <w:shd w:val="clear" w:color="auto" w:fill="auto"/>
            <w:noWrap/>
            <w:vAlign w:val="center"/>
          </w:tcPr>
          <w:p w14:paraId="5E404826" w14:textId="77777777" w:rsidR="0065555D" w:rsidRPr="003463D2" w:rsidRDefault="0065555D" w:rsidP="007049D5">
            <w:pPr>
              <w:spacing w:line="240" w:lineRule="auto"/>
              <w:jc w:val="center"/>
              <w:rPr>
                <w:sz w:val="18"/>
                <w:szCs w:val="18"/>
              </w:rPr>
            </w:pPr>
            <w:r w:rsidRPr="003463D2">
              <w:rPr>
                <w:sz w:val="18"/>
                <w:szCs w:val="18"/>
              </w:rPr>
              <w:t>0.8210</w:t>
            </w:r>
          </w:p>
        </w:tc>
        <w:tc>
          <w:tcPr>
            <w:tcW w:w="0" w:type="auto"/>
            <w:tcBorders>
              <w:top w:val="nil"/>
              <w:left w:val="nil"/>
              <w:bottom w:val="nil"/>
              <w:right w:val="nil"/>
            </w:tcBorders>
            <w:shd w:val="clear" w:color="auto" w:fill="auto"/>
            <w:noWrap/>
            <w:vAlign w:val="center"/>
          </w:tcPr>
          <w:p w14:paraId="631CB896" w14:textId="77777777" w:rsidR="0065555D" w:rsidRPr="003463D2" w:rsidRDefault="0065555D" w:rsidP="007049D5">
            <w:pPr>
              <w:spacing w:line="240" w:lineRule="auto"/>
              <w:jc w:val="center"/>
              <w:rPr>
                <w:sz w:val="18"/>
                <w:szCs w:val="18"/>
              </w:rPr>
            </w:pPr>
            <w:r w:rsidRPr="003463D2">
              <w:rPr>
                <w:sz w:val="18"/>
                <w:szCs w:val="18"/>
              </w:rPr>
              <w:t>(-7.6298)</w:t>
            </w:r>
          </w:p>
        </w:tc>
        <w:tc>
          <w:tcPr>
            <w:tcW w:w="0" w:type="auto"/>
            <w:tcBorders>
              <w:top w:val="nil"/>
              <w:left w:val="nil"/>
              <w:bottom w:val="nil"/>
              <w:right w:val="nil"/>
            </w:tcBorders>
            <w:shd w:val="clear" w:color="auto" w:fill="auto"/>
            <w:noWrap/>
            <w:vAlign w:val="center"/>
          </w:tcPr>
          <w:p w14:paraId="5FE24A13" w14:textId="77777777" w:rsidR="0065555D" w:rsidRPr="003463D2" w:rsidRDefault="0065555D" w:rsidP="007049D5">
            <w:pPr>
              <w:spacing w:line="240" w:lineRule="auto"/>
              <w:jc w:val="center"/>
              <w:rPr>
                <w:sz w:val="18"/>
                <w:szCs w:val="18"/>
              </w:rPr>
            </w:pPr>
            <w:r w:rsidRPr="003463D2">
              <w:rPr>
                <w:sz w:val="18"/>
                <w:szCs w:val="18"/>
              </w:rPr>
              <w:t>-0.2328</w:t>
            </w:r>
          </w:p>
        </w:tc>
        <w:tc>
          <w:tcPr>
            <w:tcW w:w="0" w:type="auto"/>
            <w:tcBorders>
              <w:top w:val="nil"/>
              <w:left w:val="nil"/>
              <w:bottom w:val="nil"/>
              <w:right w:val="nil"/>
            </w:tcBorders>
            <w:shd w:val="clear" w:color="auto" w:fill="auto"/>
            <w:noWrap/>
            <w:vAlign w:val="center"/>
          </w:tcPr>
          <w:p w14:paraId="0740B736" w14:textId="77777777" w:rsidR="0065555D" w:rsidRPr="003463D2" w:rsidRDefault="0065555D" w:rsidP="007049D5">
            <w:pPr>
              <w:spacing w:line="240" w:lineRule="auto"/>
              <w:jc w:val="center"/>
              <w:rPr>
                <w:sz w:val="18"/>
                <w:szCs w:val="18"/>
              </w:rPr>
            </w:pPr>
            <w:r w:rsidRPr="003463D2">
              <w:rPr>
                <w:sz w:val="18"/>
                <w:szCs w:val="18"/>
              </w:rPr>
              <w:t>0.7923</w:t>
            </w:r>
          </w:p>
        </w:tc>
        <w:tc>
          <w:tcPr>
            <w:tcW w:w="0" w:type="auto"/>
            <w:tcBorders>
              <w:top w:val="nil"/>
              <w:left w:val="nil"/>
              <w:bottom w:val="nil"/>
              <w:right w:val="nil"/>
            </w:tcBorders>
            <w:shd w:val="clear" w:color="auto" w:fill="auto"/>
            <w:noWrap/>
            <w:vAlign w:val="center"/>
          </w:tcPr>
          <w:p w14:paraId="58C15334" w14:textId="77777777" w:rsidR="0065555D" w:rsidRPr="003463D2" w:rsidRDefault="0065555D" w:rsidP="007049D5">
            <w:pPr>
              <w:spacing w:line="240" w:lineRule="auto"/>
              <w:jc w:val="center"/>
              <w:rPr>
                <w:sz w:val="18"/>
                <w:szCs w:val="18"/>
              </w:rPr>
            </w:pPr>
            <w:r w:rsidRPr="003463D2">
              <w:rPr>
                <w:sz w:val="18"/>
                <w:szCs w:val="18"/>
              </w:rPr>
              <w:t>(-10.0340)</w:t>
            </w:r>
          </w:p>
        </w:tc>
      </w:tr>
      <w:tr w:rsidR="0065555D" w:rsidRPr="003463D2" w14:paraId="0B68E5C6" w14:textId="77777777" w:rsidTr="007049D5">
        <w:trPr>
          <w:trHeight w:val="264"/>
          <w:jc w:val="center"/>
        </w:trPr>
        <w:tc>
          <w:tcPr>
            <w:tcW w:w="3244" w:type="dxa"/>
            <w:tcBorders>
              <w:top w:val="nil"/>
              <w:left w:val="nil"/>
              <w:bottom w:val="nil"/>
              <w:right w:val="nil"/>
            </w:tcBorders>
            <w:shd w:val="clear" w:color="auto" w:fill="auto"/>
            <w:noWrap/>
            <w:vAlign w:val="center"/>
            <w:hideMark/>
          </w:tcPr>
          <w:p w14:paraId="5C5EB095" w14:textId="77777777" w:rsidR="0065555D" w:rsidRPr="003463D2" w:rsidRDefault="0065555D" w:rsidP="007049D5">
            <w:pPr>
              <w:spacing w:after="0" w:line="240" w:lineRule="auto"/>
              <w:jc w:val="left"/>
              <w:rPr>
                <w:rFonts w:eastAsia="Times New Roman" w:cs="Times New Roman"/>
                <w:color w:val="000000"/>
                <w:sz w:val="18"/>
                <w:szCs w:val="18"/>
              </w:rPr>
            </w:pPr>
            <w:r w:rsidRPr="003463D2">
              <w:rPr>
                <w:rFonts w:eastAsia="Times New Roman" w:cs="Times New Roman"/>
                <w:color w:val="000000"/>
                <w:sz w:val="18"/>
                <w:szCs w:val="18"/>
              </w:rPr>
              <w:t>Years to Maturity</w:t>
            </w:r>
          </w:p>
        </w:tc>
        <w:tc>
          <w:tcPr>
            <w:tcW w:w="0" w:type="auto"/>
            <w:tcBorders>
              <w:top w:val="nil"/>
              <w:left w:val="nil"/>
              <w:bottom w:val="nil"/>
              <w:right w:val="nil"/>
            </w:tcBorders>
            <w:shd w:val="clear" w:color="auto" w:fill="auto"/>
            <w:noWrap/>
            <w:vAlign w:val="center"/>
          </w:tcPr>
          <w:p w14:paraId="37A92D8E" w14:textId="77777777" w:rsidR="0065555D" w:rsidRPr="003463D2" w:rsidRDefault="0065555D" w:rsidP="007049D5">
            <w:pPr>
              <w:spacing w:line="240" w:lineRule="auto"/>
              <w:jc w:val="center"/>
              <w:rPr>
                <w:sz w:val="18"/>
                <w:szCs w:val="18"/>
              </w:rPr>
            </w:pPr>
            <w:r w:rsidRPr="003463D2">
              <w:rPr>
                <w:sz w:val="18"/>
                <w:szCs w:val="18"/>
              </w:rPr>
              <w:t>-0.0416</w:t>
            </w:r>
          </w:p>
        </w:tc>
        <w:tc>
          <w:tcPr>
            <w:tcW w:w="0" w:type="auto"/>
            <w:tcBorders>
              <w:top w:val="nil"/>
              <w:left w:val="nil"/>
              <w:bottom w:val="nil"/>
              <w:right w:val="nil"/>
            </w:tcBorders>
            <w:shd w:val="clear" w:color="auto" w:fill="auto"/>
            <w:noWrap/>
            <w:vAlign w:val="center"/>
          </w:tcPr>
          <w:p w14:paraId="704569DD" w14:textId="77777777" w:rsidR="0065555D" w:rsidRPr="003463D2" w:rsidRDefault="0065555D" w:rsidP="007049D5">
            <w:pPr>
              <w:spacing w:line="240" w:lineRule="auto"/>
              <w:jc w:val="center"/>
              <w:rPr>
                <w:sz w:val="18"/>
                <w:szCs w:val="18"/>
              </w:rPr>
            </w:pPr>
            <w:r w:rsidRPr="003463D2">
              <w:rPr>
                <w:sz w:val="18"/>
                <w:szCs w:val="18"/>
              </w:rPr>
              <w:t>0.9592</w:t>
            </w:r>
          </w:p>
        </w:tc>
        <w:tc>
          <w:tcPr>
            <w:tcW w:w="0" w:type="auto"/>
            <w:tcBorders>
              <w:top w:val="nil"/>
              <w:left w:val="nil"/>
              <w:bottom w:val="nil"/>
              <w:right w:val="nil"/>
            </w:tcBorders>
            <w:shd w:val="clear" w:color="auto" w:fill="auto"/>
            <w:noWrap/>
            <w:vAlign w:val="center"/>
          </w:tcPr>
          <w:p w14:paraId="31FB35DA" w14:textId="77777777" w:rsidR="0065555D" w:rsidRPr="003463D2" w:rsidRDefault="0065555D" w:rsidP="007049D5">
            <w:pPr>
              <w:spacing w:line="240" w:lineRule="auto"/>
              <w:jc w:val="center"/>
              <w:rPr>
                <w:sz w:val="18"/>
                <w:szCs w:val="18"/>
              </w:rPr>
            </w:pPr>
            <w:r w:rsidRPr="003463D2">
              <w:rPr>
                <w:sz w:val="18"/>
                <w:szCs w:val="18"/>
              </w:rPr>
              <w:t>(-1.8329)</w:t>
            </w:r>
          </w:p>
        </w:tc>
        <w:tc>
          <w:tcPr>
            <w:tcW w:w="0" w:type="auto"/>
            <w:tcBorders>
              <w:top w:val="nil"/>
              <w:left w:val="nil"/>
              <w:bottom w:val="nil"/>
              <w:right w:val="nil"/>
            </w:tcBorders>
            <w:vAlign w:val="center"/>
          </w:tcPr>
          <w:p w14:paraId="0D4DBBB3" w14:textId="77777777" w:rsidR="0065555D" w:rsidRPr="003463D2" w:rsidRDefault="0065555D" w:rsidP="007049D5">
            <w:pPr>
              <w:spacing w:line="240" w:lineRule="auto"/>
              <w:jc w:val="center"/>
              <w:rPr>
                <w:sz w:val="18"/>
                <w:szCs w:val="18"/>
              </w:rPr>
            </w:pPr>
            <w:r w:rsidRPr="003463D2">
              <w:rPr>
                <w:sz w:val="18"/>
                <w:szCs w:val="18"/>
              </w:rPr>
              <w:t>-0.0434</w:t>
            </w:r>
          </w:p>
        </w:tc>
        <w:tc>
          <w:tcPr>
            <w:tcW w:w="0" w:type="auto"/>
            <w:tcBorders>
              <w:top w:val="nil"/>
              <w:left w:val="nil"/>
              <w:bottom w:val="nil"/>
              <w:right w:val="nil"/>
            </w:tcBorders>
            <w:vAlign w:val="center"/>
          </w:tcPr>
          <w:p w14:paraId="7A266AC9" w14:textId="77777777" w:rsidR="0065555D" w:rsidRPr="003463D2" w:rsidRDefault="0065555D" w:rsidP="007049D5">
            <w:pPr>
              <w:spacing w:line="240" w:lineRule="auto"/>
              <w:jc w:val="center"/>
              <w:rPr>
                <w:sz w:val="18"/>
                <w:szCs w:val="18"/>
              </w:rPr>
            </w:pPr>
            <w:r w:rsidRPr="003463D2">
              <w:rPr>
                <w:sz w:val="18"/>
                <w:szCs w:val="18"/>
              </w:rPr>
              <w:t>0.9575</w:t>
            </w:r>
          </w:p>
        </w:tc>
        <w:tc>
          <w:tcPr>
            <w:tcW w:w="0" w:type="auto"/>
            <w:tcBorders>
              <w:top w:val="nil"/>
              <w:left w:val="nil"/>
              <w:bottom w:val="nil"/>
              <w:right w:val="nil"/>
            </w:tcBorders>
            <w:vAlign w:val="center"/>
          </w:tcPr>
          <w:p w14:paraId="2EDB9A08" w14:textId="77777777" w:rsidR="0065555D" w:rsidRPr="003463D2" w:rsidRDefault="0065555D" w:rsidP="007049D5">
            <w:pPr>
              <w:spacing w:line="240" w:lineRule="auto"/>
              <w:jc w:val="center"/>
              <w:rPr>
                <w:sz w:val="18"/>
                <w:szCs w:val="18"/>
              </w:rPr>
            </w:pPr>
            <w:r w:rsidRPr="003463D2">
              <w:rPr>
                <w:sz w:val="18"/>
                <w:szCs w:val="18"/>
              </w:rPr>
              <w:t>(-1.9070)</w:t>
            </w:r>
          </w:p>
        </w:tc>
        <w:tc>
          <w:tcPr>
            <w:tcW w:w="0" w:type="auto"/>
            <w:tcBorders>
              <w:top w:val="nil"/>
              <w:left w:val="nil"/>
              <w:bottom w:val="nil"/>
              <w:right w:val="nil"/>
            </w:tcBorders>
            <w:shd w:val="clear" w:color="auto" w:fill="auto"/>
            <w:noWrap/>
            <w:vAlign w:val="center"/>
          </w:tcPr>
          <w:p w14:paraId="39B0E5DF" w14:textId="77777777" w:rsidR="0065555D" w:rsidRPr="003463D2" w:rsidRDefault="0065555D" w:rsidP="007049D5">
            <w:pPr>
              <w:spacing w:line="240" w:lineRule="auto"/>
              <w:jc w:val="center"/>
              <w:rPr>
                <w:sz w:val="18"/>
                <w:szCs w:val="18"/>
              </w:rPr>
            </w:pPr>
            <w:r w:rsidRPr="003463D2">
              <w:rPr>
                <w:sz w:val="18"/>
                <w:szCs w:val="18"/>
              </w:rPr>
              <w:t>-0.0431</w:t>
            </w:r>
          </w:p>
        </w:tc>
        <w:tc>
          <w:tcPr>
            <w:tcW w:w="0" w:type="auto"/>
            <w:tcBorders>
              <w:top w:val="nil"/>
              <w:left w:val="nil"/>
              <w:bottom w:val="nil"/>
              <w:right w:val="nil"/>
            </w:tcBorders>
            <w:shd w:val="clear" w:color="auto" w:fill="auto"/>
            <w:noWrap/>
            <w:vAlign w:val="center"/>
          </w:tcPr>
          <w:p w14:paraId="526F61FE" w14:textId="77777777" w:rsidR="0065555D" w:rsidRPr="003463D2" w:rsidRDefault="0065555D" w:rsidP="007049D5">
            <w:pPr>
              <w:spacing w:line="240" w:lineRule="auto"/>
              <w:jc w:val="center"/>
              <w:rPr>
                <w:sz w:val="18"/>
                <w:szCs w:val="18"/>
              </w:rPr>
            </w:pPr>
            <w:r w:rsidRPr="003463D2">
              <w:rPr>
                <w:sz w:val="18"/>
                <w:szCs w:val="18"/>
              </w:rPr>
              <w:t>0.9578</w:t>
            </w:r>
          </w:p>
        </w:tc>
        <w:tc>
          <w:tcPr>
            <w:tcW w:w="0" w:type="auto"/>
            <w:tcBorders>
              <w:top w:val="nil"/>
              <w:left w:val="nil"/>
              <w:bottom w:val="nil"/>
              <w:right w:val="nil"/>
            </w:tcBorders>
            <w:shd w:val="clear" w:color="auto" w:fill="auto"/>
            <w:noWrap/>
            <w:vAlign w:val="center"/>
          </w:tcPr>
          <w:p w14:paraId="160F4024" w14:textId="77777777" w:rsidR="0065555D" w:rsidRPr="003463D2" w:rsidRDefault="0065555D" w:rsidP="007049D5">
            <w:pPr>
              <w:spacing w:line="240" w:lineRule="auto"/>
              <w:jc w:val="center"/>
              <w:rPr>
                <w:sz w:val="18"/>
                <w:szCs w:val="18"/>
              </w:rPr>
            </w:pPr>
            <w:r w:rsidRPr="003463D2">
              <w:rPr>
                <w:sz w:val="18"/>
                <w:szCs w:val="18"/>
              </w:rPr>
              <w:t>(-1.9030)</w:t>
            </w:r>
          </w:p>
        </w:tc>
        <w:tc>
          <w:tcPr>
            <w:tcW w:w="0" w:type="auto"/>
            <w:tcBorders>
              <w:top w:val="nil"/>
              <w:left w:val="nil"/>
              <w:bottom w:val="nil"/>
              <w:right w:val="nil"/>
            </w:tcBorders>
            <w:shd w:val="clear" w:color="auto" w:fill="auto"/>
            <w:noWrap/>
            <w:vAlign w:val="center"/>
          </w:tcPr>
          <w:p w14:paraId="621C6A03" w14:textId="77777777" w:rsidR="0065555D" w:rsidRPr="003463D2" w:rsidRDefault="0065555D" w:rsidP="007049D5">
            <w:pPr>
              <w:spacing w:line="240" w:lineRule="auto"/>
              <w:jc w:val="center"/>
              <w:rPr>
                <w:sz w:val="18"/>
                <w:szCs w:val="18"/>
              </w:rPr>
            </w:pPr>
            <w:r w:rsidRPr="003463D2">
              <w:rPr>
                <w:sz w:val="18"/>
                <w:szCs w:val="18"/>
              </w:rPr>
              <w:t>-0.0650</w:t>
            </w:r>
          </w:p>
        </w:tc>
        <w:tc>
          <w:tcPr>
            <w:tcW w:w="0" w:type="auto"/>
            <w:tcBorders>
              <w:top w:val="nil"/>
              <w:left w:val="nil"/>
              <w:bottom w:val="nil"/>
              <w:right w:val="nil"/>
            </w:tcBorders>
            <w:shd w:val="clear" w:color="auto" w:fill="auto"/>
            <w:noWrap/>
            <w:vAlign w:val="center"/>
          </w:tcPr>
          <w:p w14:paraId="771BD31F" w14:textId="77777777" w:rsidR="0065555D" w:rsidRPr="003463D2" w:rsidRDefault="0065555D" w:rsidP="007049D5">
            <w:pPr>
              <w:spacing w:line="240" w:lineRule="auto"/>
              <w:jc w:val="center"/>
              <w:rPr>
                <w:sz w:val="18"/>
                <w:szCs w:val="18"/>
              </w:rPr>
            </w:pPr>
            <w:r w:rsidRPr="003463D2">
              <w:rPr>
                <w:sz w:val="18"/>
                <w:szCs w:val="18"/>
              </w:rPr>
              <w:t>0.9371</w:t>
            </w:r>
          </w:p>
        </w:tc>
        <w:tc>
          <w:tcPr>
            <w:tcW w:w="0" w:type="auto"/>
            <w:tcBorders>
              <w:top w:val="nil"/>
              <w:left w:val="nil"/>
              <w:bottom w:val="nil"/>
              <w:right w:val="nil"/>
            </w:tcBorders>
            <w:shd w:val="clear" w:color="auto" w:fill="auto"/>
            <w:noWrap/>
            <w:vAlign w:val="center"/>
          </w:tcPr>
          <w:p w14:paraId="017F4AE5" w14:textId="77777777" w:rsidR="0065555D" w:rsidRPr="003463D2" w:rsidRDefault="0065555D" w:rsidP="007049D5">
            <w:pPr>
              <w:spacing w:line="240" w:lineRule="auto"/>
              <w:jc w:val="center"/>
              <w:rPr>
                <w:sz w:val="18"/>
                <w:szCs w:val="18"/>
              </w:rPr>
            </w:pPr>
            <w:r w:rsidRPr="003463D2">
              <w:rPr>
                <w:sz w:val="18"/>
                <w:szCs w:val="18"/>
              </w:rPr>
              <w:t>(-2.8998)</w:t>
            </w:r>
          </w:p>
        </w:tc>
      </w:tr>
      <w:tr w:rsidR="0065555D" w:rsidRPr="003463D2" w14:paraId="0CADD626" w14:textId="77777777" w:rsidTr="007049D5">
        <w:trPr>
          <w:trHeight w:val="264"/>
          <w:jc w:val="center"/>
        </w:trPr>
        <w:tc>
          <w:tcPr>
            <w:tcW w:w="3244" w:type="dxa"/>
            <w:tcBorders>
              <w:top w:val="nil"/>
              <w:left w:val="nil"/>
              <w:bottom w:val="nil"/>
              <w:right w:val="nil"/>
            </w:tcBorders>
            <w:shd w:val="clear" w:color="auto" w:fill="auto"/>
            <w:noWrap/>
            <w:vAlign w:val="center"/>
            <w:hideMark/>
          </w:tcPr>
          <w:p w14:paraId="52438158" w14:textId="77777777" w:rsidR="0065555D" w:rsidRPr="003463D2" w:rsidRDefault="0065555D" w:rsidP="007049D5">
            <w:pPr>
              <w:spacing w:line="240" w:lineRule="auto"/>
              <w:jc w:val="left"/>
              <w:rPr>
                <w:rFonts w:eastAsia="MS Mincho" w:cs="Times New Roman"/>
                <w:sz w:val="18"/>
                <w:szCs w:val="18"/>
              </w:rPr>
            </w:pPr>
            <w:r w:rsidRPr="003463D2">
              <w:rPr>
                <w:rFonts w:eastAsia="MS Mincho" w:cs="Times New Roman"/>
                <w:sz w:val="18"/>
                <w:szCs w:val="18"/>
              </w:rPr>
              <w:t>DSCR</w:t>
            </w:r>
          </w:p>
        </w:tc>
        <w:tc>
          <w:tcPr>
            <w:tcW w:w="0" w:type="auto"/>
            <w:tcBorders>
              <w:top w:val="nil"/>
              <w:left w:val="nil"/>
              <w:bottom w:val="nil"/>
              <w:right w:val="nil"/>
            </w:tcBorders>
            <w:shd w:val="clear" w:color="auto" w:fill="auto"/>
            <w:noWrap/>
            <w:vAlign w:val="center"/>
          </w:tcPr>
          <w:p w14:paraId="02C5FCF4" w14:textId="77777777" w:rsidR="0065555D" w:rsidRPr="003463D2" w:rsidRDefault="0065555D" w:rsidP="007049D5">
            <w:pPr>
              <w:spacing w:line="240" w:lineRule="auto"/>
              <w:jc w:val="center"/>
              <w:rPr>
                <w:sz w:val="18"/>
                <w:szCs w:val="18"/>
              </w:rPr>
            </w:pPr>
            <w:r w:rsidRPr="003463D2">
              <w:rPr>
                <w:sz w:val="18"/>
                <w:szCs w:val="18"/>
              </w:rPr>
              <w:t>-0.1817</w:t>
            </w:r>
          </w:p>
        </w:tc>
        <w:tc>
          <w:tcPr>
            <w:tcW w:w="0" w:type="auto"/>
            <w:tcBorders>
              <w:top w:val="nil"/>
              <w:left w:val="nil"/>
              <w:bottom w:val="nil"/>
              <w:right w:val="nil"/>
            </w:tcBorders>
            <w:shd w:val="clear" w:color="auto" w:fill="auto"/>
            <w:noWrap/>
            <w:vAlign w:val="center"/>
          </w:tcPr>
          <w:p w14:paraId="0085CEB2" w14:textId="77777777" w:rsidR="0065555D" w:rsidRPr="003463D2" w:rsidRDefault="0065555D" w:rsidP="007049D5">
            <w:pPr>
              <w:spacing w:line="240" w:lineRule="auto"/>
              <w:jc w:val="center"/>
              <w:rPr>
                <w:sz w:val="18"/>
                <w:szCs w:val="18"/>
              </w:rPr>
            </w:pPr>
            <w:r w:rsidRPr="003463D2">
              <w:rPr>
                <w:sz w:val="18"/>
                <w:szCs w:val="18"/>
              </w:rPr>
              <w:t>0.8338</w:t>
            </w:r>
          </w:p>
        </w:tc>
        <w:tc>
          <w:tcPr>
            <w:tcW w:w="0" w:type="auto"/>
            <w:tcBorders>
              <w:top w:val="nil"/>
              <w:left w:val="nil"/>
              <w:bottom w:val="nil"/>
              <w:right w:val="nil"/>
            </w:tcBorders>
            <w:shd w:val="clear" w:color="auto" w:fill="auto"/>
            <w:noWrap/>
            <w:vAlign w:val="center"/>
          </w:tcPr>
          <w:p w14:paraId="28574308" w14:textId="77777777" w:rsidR="0065555D" w:rsidRPr="003463D2" w:rsidRDefault="0065555D" w:rsidP="007049D5">
            <w:pPr>
              <w:spacing w:line="240" w:lineRule="auto"/>
              <w:jc w:val="center"/>
              <w:rPr>
                <w:sz w:val="18"/>
                <w:szCs w:val="18"/>
              </w:rPr>
            </w:pPr>
            <w:r w:rsidRPr="003463D2">
              <w:rPr>
                <w:sz w:val="18"/>
                <w:szCs w:val="18"/>
              </w:rPr>
              <w:t>(-1.3934)</w:t>
            </w:r>
          </w:p>
        </w:tc>
        <w:tc>
          <w:tcPr>
            <w:tcW w:w="0" w:type="auto"/>
            <w:tcBorders>
              <w:top w:val="nil"/>
              <w:left w:val="nil"/>
              <w:bottom w:val="nil"/>
              <w:right w:val="nil"/>
            </w:tcBorders>
            <w:vAlign w:val="center"/>
          </w:tcPr>
          <w:p w14:paraId="36B35581" w14:textId="77777777" w:rsidR="0065555D" w:rsidRPr="003463D2" w:rsidRDefault="0065555D" w:rsidP="007049D5">
            <w:pPr>
              <w:spacing w:line="240" w:lineRule="auto"/>
              <w:jc w:val="center"/>
              <w:rPr>
                <w:sz w:val="18"/>
                <w:szCs w:val="18"/>
              </w:rPr>
            </w:pPr>
            <w:r w:rsidRPr="003463D2">
              <w:rPr>
                <w:sz w:val="18"/>
                <w:szCs w:val="18"/>
              </w:rPr>
              <w:t>-0.1630</w:t>
            </w:r>
          </w:p>
        </w:tc>
        <w:tc>
          <w:tcPr>
            <w:tcW w:w="0" w:type="auto"/>
            <w:tcBorders>
              <w:top w:val="nil"/>
              <w:left w:val="nil"/>
              <w:bottom w:val="nil"/>
              <w:right w:val="nil"/>
            </w:tcBorders>
            <w:vAlign w:val="center"/>
          </w:tcPr>
          <w:p w14:paraId="18E40720" w14:textId="77777777" w:rsidR="0065555D" w:rsidRPr="003463D2" w:rsidRDefault="0065555D" w:rsidP="007049D5">
            <w:pPr>
              <w:spacing w:line="240" w:lineRule="auto"/>
              <w:jc w:val="center"/>
              <w:rPr>
                <w:sz w:val="18"/>
                <w:szCs w:val="18"/>
              </w:rPr>
            </w:pPr>
            <w:r w:rsidRPr="003463D2">
              <w:rPr>
                <w:sz w:val="18"/>
                <w:szCs w:val="18"/>
              </w:rPr>
              <w:t>0.8496</w:t>
            </w:r>
          </w:p>
        </w:tc>
        <w:tc>
          <w:tcPr>
            <w:tcW w:w="0" w:type="auto"/>
            <w:tcBorders>
              <w:top w:val="nil"/>
              <w:left w:val="nil"/>
              <w:bottom w:val="nil"/>
              <w:right w:val="nil"/>
            </w:tcBorders>
            <w:vAlign w:val="center"/>
          </w:tcPr>
          <w:p w14:paraId="7EF21CE7" w14:textId="77777777" w:rsidR="0065555D" w:rsidRPr="003463D2" w:rsidRDefault="0065555D" w:rsidP="007049D5">
            <w:pPr>
              <w:spacing w:line="240" w:lineRule="auto"/>
              <w:jc w:val="center"/>
              <w:rPr>
                <w:sz w:val="18"/>
                <w:szCs w:val="18"/>
              </w:rPr>
            </w:pPr>
            <w:r w:rsidRPr="003463D2">
              <w:rPr>
                <w:sz w:val="18"/>
                <w:szCs w:val="18"/>
              </w:rPr>
              <w:t>(-1.2938)</w:t>
            </w:r>
          </w:p>
        </w:tc>
        <w:tc>
          <w:tcPr>
            <w:tcW w:w="0" w:type="auto"/>
            <w:tcBorders>
              <w:top w:val="nil"/>
              <w:left w:val="nil"/>
              <w:bottom w:val="nil"/>
              <w:right w:val="nil"/>
            </w:tcBorders>
            <w:shd w:val="clear" w:color="auto" w:fill="auto"/>
            <w:noWrap/>
            <w:vAlign w:val="center"/>
          </w:tcPr>
          <w:p w14:paraId="294BD8A8" w14:textId="77777777" w:rsidR="0065555D" w:rsidRPr="003463D2" w:rsidRDefault="0065555D" w:rsidP="007049D5">
            <w:pPr>
              <w:spacing w:line="240" w:lineRule="auto"/>
              <w:jc w:val="center"/>
              <w:rPr>
                <w:sz w:val="18"/>
                <w:szCs w:val="18"/>
              </w:rPr>
            </w:pPr>
            <w:r w:rsidRPr="003463D2">
              <w:rPr>
                <w:sz w:val="18"/>
                <w:szCs w:val="18"/>
              </w:rPr>
              <w:t>-0.1601</w:t>
            </w:r>
          </w:p>
        </w:tc>
        <w:tc>
          <w:tcPr>
            <w:tcW w:w="0" w:type="auto"/>
            <w:tcBorders>
              <w:top w:val="nil"/>
              <w:left w:val="nil"/>
              <w:bottom w:val="nil"/>
              <w:right w:val="nil"/>
            </w:tcBorders>
            <w:shd w:val="clear" w:color="auto" w:fill="auto"/>
            <w:noWrap/>
            <w:vAlign w:val="center"/>
          </w:tcPr>
          <w:p w14:paraId="5DC37FEB" w14:textId="77777777" w:rsidR="0065555D" w:rsidRPr="003463D2" w:rsidRDefault="0065555D" w:rsidP="007049D5">
            <w:pPr>
              <w:spacing w:line="240" w:lineRule="auto"/>
              <w:jc w:val="center"/>
              <w:rPr>
                <w:sz w:val="18"/>
                <w:szCs w:val="18"/>
              </w:rPr>
            </w:pPr>
            <w:r w:rsidRPr="003463D2">
              <w:rPr>
                <w:sz w:val="18"/>
                <w:szCs w:val="18"/>
              </w:rPr>
              <w:t>0.8521</w:t>
            </w:r>
          </w:p>
        </w:tc>
        <w:tc>
          <w:tcPr>
            <w:tcW w:w="0" w:type="auto"/>
            <w:tcBorders>
              <w:top w:val="nil"/>
              <w:left w:val="nil"/>
              <w:bottom w:val="nil"/>
              <w:right w:val="nil"/>
            </w:tcBorders>
            <w:shd w:val="clear" w:color="auto" w:fill="auto"/>
            <w:noWrap/>
            <w:vAlign w:val="center"/>
          </w:tcPr>
          <w:p w14:paraId="300F40E0" w14:textId="77777777" w:rsidR="0065555D" w:rsidRPr="003463D2" w:rsidRDefault="0065555D" w:rsidP="007049D5">
            <w:pPr>
              <w:spacing w:line="240" w:lineRule="auto"/>
              <w:jc w:val="center"/>
              <w:rPr>
                <w:sz w:val="18"/>
                <w:szCs w:val="18"/>
              </w:rPr>
            </w:pPr>
            <w:r w:rsidRPr="003463D2">
              <w:rPr>
                <w:sz w:val="18"/>
                <w:szCs w:val="18"/>
              </w:rPr>
              <w:t>(-1.2607)</w:t>
            </w:r>
          </w:p>
        </w:tc>
        <w:tc>
          <w:tcPr>
            <w:tcW w:w="0" w:type="auto"/>
            <w:tcBorders>
              <w:top w:val="nil"/>
              <w:left w:val="nil"/>
              <w:bottom w:val="nil"/>
              <w:right w:val="nil"/>
            </w:tcBorders>
            <w:shd w:val="clear" w:color="auto" w:fill="auto"/>
            <w:noWrap/>
            <w:vAlign w:val="center"/>
          </w:tcPr>
          <w:p w14:paraId="5438976F" w14:textId="77777777" w:rsidR="0065555D" w:rsidRPr="003463D2" w:rsidRDefault="0065555D" w:rsidP="007049D5">
            <w:pPr>
              <w:spacing w:line="240" w:lineRule="auto"/>
              <w:jc w:val="center"/>
              <w:rPr>
                <w:sz w:val="18"/>
                <w:szCs w:val="18"/>
              </w:rPr>
            </w:pPr>
            <w:r w:rsidRPr="003463D2">
              <w:rPr>
                <w:sz w:val="18"/>
                <w:szCs w:val="18"/>
              </w:rPr>
              <w:t>-0.1421</w:t>
            </w:r>
          </w:p>
        </w:tc>
        <w:tc>
          <w:tcPr>
            <w:tcW w:w="0" w:type="auto"/>
            <w:tcBorders>
              <w:top w:val="nil"/>
              <w:left w:val="nil"/>
              <w:bottom w:val="nil"/>
              <w:right w:val="nil"/>
            </w:tcBorders>
            <w:shd w:val="clear" w:color="auto" w:fill="auto"/>
            <w:noWrap/>
            <w:vAlign w:val="center"/>
          </w:tcPr>
          <w:p w14:paraId="1A1650CC" w14:textId="77777777" w:rsidR="0065555D" w:rsidRPr="003463D2" w:rsidRDefault="0065555D" w:rsidP="007049D5">
            <w:pPr>
              <w:spacing w:line="240" w:lineRule="auto"/>
              <w:jc w:val="center"/>
              <w:rPr>
                <w:sz w:val="18"/>
                <w:szCs w:val="18"/>
              </w:rPr>
            </w:pPr>
            <w:r w:rsidRPr="003463D2">
              <w:rPr>
                <w:sz w:val="18"/>
                <w:szCs w:val="18"/>
              </w:rPr>
              <w:t>0.8675</w:t>
            </w:r>
          </w:p>
        </w:tc>
        <w:tc>
          <w:tcPr>
            <w:tcW w:w="0" w:type="auto"/>
            <w:tcBorders>
              <w:top w:val="nil"/>
              <w:left w:val="nil"/>
              <w:bottom w:val="nil"/>
              <w:right w:val="nil"/>
            </w:tcBorders>
            <w:shd w:val="clear" w:color="auto" w:fill="auto"/>
            <w:noWrap/>
            <w:vAlign w:val="center"/>
          </w:tcPr>
          <w:p w14:paraId="652662EC" w14:textId="77777777" w:rsidR="0065555D" w:rsidRPr="003463D2" w:rsidRDefault="0065555D" w:rsidP="007049D5">
            <w:pPr>
              <w:spacing w:line="240" w:lineRule="auto"/>
              <w:jc w:val="center"/>
              <w:rPr>
                <w:sz w:val="18"/>
                <w:szCs w:val="18"/>
              </w:rPr>
            </w:pPr>
            <w:r w:rsidRPr="003463D2">
              <w:rPr>
                <w:sz w:val="18"/>
                <w:szCs w:val="18"/>
              </w:rPr>
              <w:t>(-1.1217)</w:t>
            </w:r>
          </w:p>
        </w:tc>
      </w:tr>
      <w:tr w:rsidR="0065555D" w:rsidRPr="003463D2" w14:paraId="1D0E495B" w14:textId="77777777" w:rsidTr="007049D5">
        <w:trPr>
          <w:trHeight w:val="264"/>
          <w:jc w:val="center"/>
        </w:trPr>
        <w:tc>
          <w:tcPr>
            <w:tcW w:w="3244" w:type="dxa"/>
            <w:tcBorders>
              <w:top w:val="nil"/>
              <w:left w:val="nil"/>
              <w:bottom w:val="nil"/>
              <w:right w:val="nil"/>
            </w:tcBorders>
            <w:shd w:val="clear" w:color="auto" w:fill="auto"/>
            <w:noWrap/>
            <w:vAlign w:val="center"/>
            <w:hideMark/>
          </w:tcPr>
          <w:p w14:paraId="03FD1E30" w14:textId="77777777" w:rsidR="0065555D" w:rsidRPr="003463D2" w:rsidRDefault="0065555D" w:rsidP="007049D5">
            <w:pPr>
              <w:spacing w:line="240" w:lineRule="auto"/>
              <w:jc w:val="left"/>
              <w:rPr>
                <w:rFonts w:eastAsia="MS Mincho" w:cs="Times New Roman"/>
                <w:sz w:val="18"/>
                <w:szCs w:val="18"/>
              </w:rPr>
            </w:pPr>
            <w:r w:rsidRPr="003463D2">
              <w:rPr>
                <w:rFonts w:eastAsia="MS Mincho" w:cs="Times New Roman"/>
                <w:sz w:val="18"/>
                <w:szCs w:val="18"/>
              </w:rPr>
              <w:t>Maturity Matched Treasury Rate</w:t>
            </w:r>
          </w:p>
        </w:tc>
        <w:tc>
          <w:tcPr>
            <w:tcW w:w="0" w:type="auto"/>
            <w:tcBorders>
              <w:top w:val="nil"/>
              <w:left w:val="nil"/>
              <w:bottom w:val="nil"/>
              <w:right w:val="nil"/>
            </w:tcBorders>
            <w:shd w:val="clear" w:color="auto" w:fill="auto"/>
            <w:noWrap/>
            <w:vAlign w:val="center"/>
          </w:tcPr>
          <w:p w14:paraId="207BDBA0" w14:textId="77777777" w:rsidR="0065555D" w:rsidRPr="003463D2" w:rsidRDefault="0065555D" w:rsidP="007049D5">
            <w:pPr>
              <w:spacing w:line="240" w:lineRule="auto"/>
              <w:jc w:val="center"/>
              <w:rPr>
                <w:sz w:val="18"/>
                <w:szCs w:val="18"/>
              </w:rPr>
            </w:pPr>
            <w:r w:rsidRPr="003463D2">
              <w:rPr>
                <w:sz w:val="18"/>
                <w:szCs w:val="18"/>
              </w:rPr>
              <w:t>0.7901</w:t>
            </w:r>
          </w:p>
        </w:tc>
        <w:tc>
          <w:tcPr>
            <w:tcW w:w="0" w:type="auto"/>
            <w:tcBorders>
              <w:top w:val="nil"/>
              <w:left w:val="nil"/>
              <w:bottom w:val="nil"/>
              <w:right w:val="nil"/>
            </w:tcBorders>
            <w:shd w:val="clear" w:color="auto" w:fill="auto"/>
            <w:noWrap/>
            <w:vAlign w:val="center"/>
          </w:tcPr>
          <w:p w14:paraId="4AA547D7" w14:textId="77777777" w:rsidR="0065555D" w:rsidRPr="003463D2" w:rsidRDefault="0065555D" w:rsidP="007049D5">
            <w:pPr>
              <w:spacing w:line="240" w:lineRule="auto"/>
              <w:jc w:val="center"/>
              <w:rPr>
                <w:sz w:val="18"/>
                <w:szCs w:val="18"/>
              </w:rPr>
            </w:pPr>
            <w:r w:rsidRPr="003463D2">
              <w:rPr>
                <w:sz w:val="18"/>
                <w:szCs w:val="18"/>
              </w:rPr>
              <w:t>2.2037</w:t>
            </w:r>
          </w:p>
        </w:tc>
        <w:tc>
          <w:tcPr>
            <w:tcW w:w="0" w:type="auto"/>
            <w:tcBorders>
              <w:top w:val="nil"/>
              <w:left w:val="nil"/>
              <w:bottom w:val="nil"/>
              <w:right w:val="nil"/>
            </w:tcBorders>
            <w:shd w:val="clear" w:color="auto" w:fill="auto"/>
            <w:noWrap/>
            <w:vAlign w:val="center"/>
          </w:tcPr>
          <w:p w14:paraId="41C1DE38" w14:textId="77777777" w:rsidR="0065555D" w:rsidRPr="003463D2" w:rsidRDefault="0065555D" w:rsidP="007049D5">
            <w:pPr>
              <w:spacing w:line="240" w:lineRule="auto"/>
              <w:jc w:val="center"/>
              <w:rPr>
                <w:sz w:val="18"/>
                <w:szCs w:val="18"/>
              </w:rPr>
            </w:pPr>
            <w:r w:rsidRPr="003463D2">
              <w:rPr>
                <w:sz w:val="18"/>
                <w:szCs w:val="18"/>
              </w:rPr>
              <w:t>(4.5739)</w:t>
            </w:r>
          </w:p>
        </w:tc>
        <w:tc>
          <w:tcPr>
            <w:tcW w:w="0" w:type="auto"/>
            <w:tcBorders>
              <w:top w:val="nil"/>
              <w:left w:val="nil"/>
              <w:bottom w:val="nil"/>
              <w:right w:val="nil"/>
            </w:tcBorders>
            <w:vAlign w:val="center"/>
          </w:tcPr>
          <w:p w14:paraId="4576DF63" w14:textId="77777777" w:rsidR="0065555D" w:rsidRPr="003463D2" w:rsidRDefault="0065555D" w:rsidP="007049D5">
            <w:pPr>
              <w:spacing w:line="240" w:lineRule="auto"/>
              <w:jc w:val="center"/>
              <w:rPr>
                <w:sz w:val="18"/>
                <w:szCs w:val="18"/>
              </w:rPr>
            </w:pPr>
            <w:r w:rsidRPr="003463D2">
              <w:rPr>
                <w:sz w:val="18"/>
                <w:szCs w:val="18"/>
              </w:rPr>
              <w:t>0.8035</w:t>
            </w:r>
          </w:p>
        </w:tc>
        <w:tc>
          <w:tcPr>
            <w:tcW w:w="0" w:type="auto"/>
            <w:tcBorders>
              <w:top w:val="nil"/>
              <w:left w:val="nil"/>
              <w:bottom w:val="nil"/>
              <w:right w:val="nil"/>
            </w:tcBorders>
            <w:vAlign w:val="center"/>
          </w:tcPr>
          <w:p w14:paraId="7C64B905" w14:textId="77777777" w:rsidR="0065555D" w:rsidRPr="003463D2" w:rsidRDefault="0065555D" w:rsidP="007049D5">
            <w:pPr>
              <w:spacing w:line="240" w:lineRule="auto"/>
              <w:jc w:val="center"/>
              <w:rPr>
                <w:sz w:val="18"/>
                <w:szCs w:val="18"/>
              </w:rPr>
            </w:pPr>
            <w:r w:rsidRPr="003463D2">
              <w:rPr>
                <w:sz w:val="18"/>
                <w:szCs w:val="18"/>
              </w:rPr>
              <w:t>2.2334</w:t>
            </w:r>
          </w:p>
        </w:tc>
        <w:tc>
          <w:tcPr>
            <w:tcW w:w="0" w:type="auto"/>
            <w:tcBorders>
              <w:top w:val="nil"/>
              <w:left w:val="nil"/>
              <w:bottom w:val="nil"/>
              <w:right w:val="nil"/>
            </w:tcBorders>
            <w:vAlign w:val="center"/>
          </w:tcPr>
          <w:p w14:paraId="3F1AEFC6" w14:textId="77777777" w:rsidR="0065555D" w:rsidRPr="003463D2" w:rsidRDefault="0065555D" w:rsidP="007049D5">
            <w:pPr>
              <w:spacing w:line="240" w:lineRule="auto"/>
              <w:jc w:val="center"/>
              <w:rPr>
                <w:sz w:val="18"/>
                <w:szCs w:val="18"/>
              </w:rPr>
            </w:pPr>
            <w:r w:rsidRPr="003463D2">
              <w:rPr>
                <w:sz w:val="18"/>
                <w:szCs w:val="18"/>
              </w:rPr>
              <w:t>(4.6111)</w:t>
            </w:r>
          </w:p>
        </w:tc>
        <w:tc>
          <w:tcPr>
            <w:tcW w:w="0" w:type="auto"/>
            <w:tcBorders>
              <w:top w:val="nil"/>
              <w:left w:val="nil"/>
              <w:bottom w:val="nil"/>
              <w:right w:val="nil"/>
            </w:tcBorders>
            <w:shd w:val="clear" w:color="auto" w:fill="auto"/>
            <w:noWrap/>
            <w:vAlign w:val="center"/>
          </w:tcPr>
          <w:p w14:paraId="076D5B9F" w14:textId="77777777" w:rsidR="0065555D" w:rsidRPr="003463D2" w:rsidRDefault="0065555D" w:rsidP="007049D5">
            <w:pPr>
              <w:spacing w:line="240" w:lineRule="auto"/>
              <w:jc w:val="center"/>
              <w:rPr>
                <w:sz w:val="18"/>
                <w:szCs w:val="18"/>
              </w:rPr>
            </w:pPr>
            <w:r w:rsidRPr="003463D2">
              <w:rPr>
                <w:sz w:val="18"/>
                <w:szCs w:val="18"/>
              </w:rPr>
              <w:t>0.8053</w:t>
            </w:r>
          </w:p>
        </w:tc>
        <w:tc>
          <w:tcPr>
            <w:tcW w:w="0" w:type="auto"/>
            <w:tcBorders>
              <w:top w:val="nil"/>
              <w:left w:val="nil"/>
              <w:bottom w:val="nil"/>
              <w:right w:val="nil"/>
            </w:tcBorders>
            <w:shd w:val="clear" w:color="auto" w:fill="auto"/>
            <w:noWrap/>
            <w:vAlign w:val="center"/>
          </w:tcPr>
          <w:p w14:paraId="09608A54" w14:textId="77777777" w:rsidR="0065555D" w:rsidRPr="003463D2" w:rsidRDefault="0065555D" w:rsidP="007049D5">
            <w:pPr>
              <w:spacing w:line="240" w:lineRule="auto"/>
              <w:jc w:val="center"/>
              <w:rPr>
                <w:sz w:val="18"/>
                <w:szCs w:val="18"/>
              </w:rPr>
            </w:pPr>
            <w:r w:rsidRPr="003463D2">
              <w:rPr>
                <w:sz w:val="18"/>
                <w:szCs w:val="18"/>
              </w:rPr>
              <w:t>2.2374</w:t>
            </w:r>
          </w:p>
        </w:tc>
        <w:tc>
          <w:tcPr>
            <w:tcW w:w="0" w:type="auto"/>
            <w:tcBorders>
              <w:top w:val="nil"/>
              <w:left w:val="nil"/>
              <w:bottom w:val="nil"/>
              <w:right w:val="nil"/>
            </w:tcBorders>
            <w:shd w:val="clear" w:color="auto" w:fill="auto"/>
            <w:noWrap/>
            <w:vAlign w:val="center"/>
          </w:tcPr>
          <w:p w14:paraId="57A76865" w14:textId="77777777" w:rsidR="0065555D" w:rsidRPr="003463D2" w:rsidRDefault="0065555D" w:rsidP="007049D5">
            <w:pPr>
              <w:spacing w:line="240" w:lineRule="auto"/>
              <w:jc w:val="center"/>
              <w:rPr>
                <w:sz w:val="18"/>
                <w:szCs w:val="18"/>
              </w:rPr>
            </w:pPr>
            <w:r w:rsidRPr="003463D2">
              <w:rPr>
                <w:sz w:val="18"/>
                <w:szCs w:val="18"/>
              </w:rPr>
              <w:t>(4.6108)</w:t>
            </w:r>
          </w:p>
        </w:tc>
        <w:tc>
          <w:tcPr>
            <w:tcW w:w="0" w:type="auto"/>
            <w:tcBorders>
              <w:top w:val="nil"/>
              <w:left w:val="nil"/>
              <w:bottom w:val="nil"/>
              <w:right w:val="nil"/>
            </w:tcBorders>
            <w:shd w:val="clear" w:color="auto" w:fill="auto"/>
            <w:noWrap/>
            <w:vAlign w:val="center"/>
          </w:tcPr>
          <w:p w14:paraId="4C5CC727" w14:textId="77777777" w:rsidR="0065555D" w:rsidRPr="003463D2" w:rsidRDefault="0065555D" w:rsidP="007049D5">
            <w:pPr>
              <w:spacing w:line="240" w:lineRule="auto"/>
              <w:jc w:val="center"/>
              <w:rPr>
                <w:sz w:val="18"/>
                <w:szCs w:val="18"/>
              </w:rPr>
            </w:pPr>
            <w:r w:rsidRPr="003463D2">
              <w:rPr>
                <w:sz w:val="18"/>
                <w:szCs w:val="18"/>
              </w:rPr>
              <w:t>0.8218</w:t>
            </w:r>
          </w:p>
        </w:tc>
        <w:tc>
          <w:tcPr>
            <w:tcW w:w="0" w:type="auto"/>
            <w:tcBorders>
              <w:top w:val="nil"/>
              <w:left w:val="nil"/>
              <w:bottom w:val="nil"/>
              <w:right w:val="nil"/>
            </w:tcBorders>
            <w:shd w:val="clear" w:color="auto" w:fill="auto"/>
            <w:noWrap/>
            <w:vAlign w:val="center"/>
          </w:tcPr>
          <w:p w14:paraId="1E51028E" w14:textId="77777777" w:rsidR="0065555D" w:rsidRPr="003463D2" w:rsidRDefault="0065555D" w:rsidP="007049D5">
            <w:pPr>
              <w:spacing w:line="240" w:lineRule="auto"/>
              <w:jc w:val="center"/>
              <w:rPr>
                <w:sz w:val="18"/>
                <w:szCs w:val="18"/>
              </w:rPr>
            </w:pPr>
            <w:r w:rsidRPr="003463D2">
              <w:rPr>
                <w:sz w:val="18"/>
                <w:szCs w:val="18"/>
              </w:rPr>
              <w:t>2.2746</w:t>
            </w:r>
          </w:p>
        </w:tc>
        <w:tc>
          <w:tcPr>
            <w:tcW w:w="0" w:type="auto"/>
            <w:tcBorders>
              <w:top w:val="nil"/>
              <w:left w:val="nil"/>
              <w:bottom w:val="nil"/>
              <w:right w:val="nil"/>
            </w:tcBorders>
            <w:shd w:val="clear" w:color="auto" w:fill="auto"/>
            <w:noWrap/>
            <w:vAlign w:val="center"/>
          </w:tcPr>
          <w:p w14:paraId="24DBBDD5" w14:textId="77777777" w:rsidR="0065555D" w:rsidRPr="003463D2" w:rsidRDefault="0065555D" w:rsidP="007049D5">
            <w:pPr>
              <w:spacing w:line="240" w:lineRule="auto"/>
              <w:jc w:val="center"/>
              <w:rPr>
                <w:sz w:val="18"/>
                <w:szCs w:val="18"/>
              </w:rPr>
            </w:pPr>
            <w:r w:rsidRPr="003463D2">
              <w:rPr>
                <w:sz w:val="18"/>
                <w:szCs w:val="18"/>
              </w:rPr>
              <w:t>(4.7397)</w:t>
            </w:r>
          </w:p>
        </w:tc>
      </w:tr>
      <w:tr w:rsidR="0065555D" w:rsidRPr="003463D2" w14:paraId="4CB37C35" w14:textId="77777777" w:rsidTr="007049D5">
        <w:trPr>
          <w:trHeight w:val="264"/>
          <w:jc w:val="center"/>
        </w:trPr>
        <w:tc>
          <w:tcPr>
            <w:tcW w:w="3244" w:type="dxa"/>
            <w:tcBorders>
              <w:top w:val="nil"/>
              <w:left w:val="nil"/>
              <w:bottom w:val="nil"/>
              <w:right w:val="nil"/>
            </w:tcBorders>
            <w:shd w:val="clear" w:color="auto" w:fill="auto"/>
            <w:noWrap/>
            <w:vAlign w:val="center"/>
            <w:hideMark/>
          </w:tcPr>
          <w:p w14:paraId="4820EBA5" w14:textId="77777777" w:rsidR="0065555D" w:rsidRPr="003463D2" w:rsidRDefault="0065555D" w:rsidP="007049D5">
            <w:pPr>
              <w:spacing w:after="0" w:line="240" w:lineRule="auto"/>
              <w:jc w:val="left"/>
              <w:rPr>
                <w:rFonts w:eastAsia="Times New Roman" w:cs="Times New Roman"/>
                <w:sz w:val="18"/>
                <w:szCs w:val="18"/>
              </w:rPr>
            </w:pPr>
          </w:p>
        </w:tc>
        <w:tc>
          <w:tcPr>
            <w:tcW w:w="0" w:type="auto"/>
            <w:tcBorders>
              <w:top w:val="nil"/>
              <w:left w:val="nil"/>
              <w:bottom w:val="nil"/>
              <w:right w:val="nil"/>
            </w:tcBorders>
            <w:shd w:val="clear" w:color="auto" w:fill="auto"/>
            <w:noWrap/>
            <w:vAlign w:val="center"/>
            <w:hideMark/>
          </w:tcPr>
          <w:p w14:paraId="31FCECA3" w14:textId="77777777" w:rsidR="0065555D" w:rsidRPr="003463D2" w:rsidRDefault="0065555D" w:rsidP="007049D5">
            <w:pPr>
              <w:spacing w:after="0" w:line="240" w:lineRule="auto"/>
              <w:jc w:val="center"/>
              <w:rPr>
                <w:rFonts w:eastAsia="Times New Roman" w:cs="Times New Roman"/>
                <w:sz w:val="18"/>
                <w:szCs w:val="18"/>
              </w:rPr>
            </w:pPr>
          </w:p>
        </w:tc>
        <w:tc>
          <w:tcPr>
            <w:tcW w:w="0" w:type="auto"/>
            <w:tcBorders>
              <w:top w:val="nil"/>
              <w:left w:val="nil"/>
              <w:bottom w:val="nil"/>
              <w:right w:val="nil"/>
            </w:tcBorders>
            <w:shd w:val="clear" w:color="auto" w:fill="auto"/>
            <w:noWrap/>
            <w:vAlign w:val="center"/>
            <w:hideMark/>
          </w:tcPr>
          <w:p w14:paraId="4F0EFEEF" w14:textId="77777777" w:rsidR="0065555D" w:rsidRPr="003463D2" w:rsidRDefault="0065555D" w:rsidP="007049D5">
            <w:pPr>
              <w:spacing w:after="0" w:line="240" w:lineRule="auto"/>
              <w:jc w:val="center"/>
              <w:rPr>
                <w:rFonts w:eastAsia="Times New Roman" w:cs="Times New Roman"/>
                <w:sz w:val="18"/>
                <w:szCs w:val="18"/>
              </w:rPr>
            </w:pPr>
          </w:p>
        </w:tc>
        <w:tc>
          <w:tcPr>
            <w:tcW w:w="0" w:type="auto"/>
            <w:tcBorders>
              <w:top w:val="nil"/>
              <w:left w:val="nil"/>
              <w:bottom w:val="nil"/>
              <w:right w:val="nil"/>
            </w:tcBorders>
            <w:shd w:val="clear" w:color="auto" w:fill="auto"/>
            <w:noWrap/>
            <w:vAlign w:val="center"/>
            <w:hideMark/>
          </w:tcPr>
          <w:p w14:paraId="0D56E8E0" w14:textId="77777777" w:rsidR="0065555D" w:rsidRPr="003463D2" w:rsidRDefault="0065555D" w:rsidP="007049D5">
            <w:pPr>
              <w:spacing w:after="0" w:line="240" w:lineRule="auto"/>
              <w:jc w:val="center"/>
              <w:rPr>
                <w:rFonts w:eastAsia="Times New Roman" w:cs="Times New Roman"/>
                <w:sz w:val="18"/>
                <w:szCs w:val="18"/>
              </w:rPr>
            </w:pPr>
          </w:p>
        </w:tc>
        <w:tc>
          <w:tcPr>
            <w:tcW w:w="0" w:type="auto"/>
            <w:tcBorders>
              <w:top w:val="nil"/>
              <w:left w:val="nil"/>
              <w:bottom w:val="nil"/>
              <w:right w:val="nil"/>
            </w:tcBorders>
            <w:vAlign w:val="center"/>
          </w:tcPr>
          <w:p w14:paraId="5A3088E1" w14:textId="77777777" w:rsidR="0065555D" w:rsidRPr="003463D2" w:rsidRDefault="0065555D" w:rsidP="007049D5">
            <w:pPr>
              <w:spacing w:after="0" w:line="240" w:lineRule="auto"/>
              <w:jc w:val="center"/>
              <w:rPr>
                <w:rFonts w:eastAsia="Times New Roman" w:cs="Times New Roman"/>
                <w:sz w:val="18"/>
                <w:szCs w:val="18"/>
              </w:rPr>
            </w:pPr>
          </w:p>
        </w:tc>
        <w:tc>
          <w:tcPr>
            <w:tcW w:w="0" w:type="auto"/>
            <w:tcBorders>
              <w:top w:val="nil"/>
              <w:left w:val="nil"/>
              <w:bottom w:val="nil"/>
              <w:right w:val="nil"/>
            </w:tcBorders>
            <w:vAlign w:val="center"/>
          </w:tcPr>
          <w:p w14:paraId="12FFFFB9" w14:textId="77777777" w:rsidR="0065555D" w:rsidRPr="003463D2" w:rsidRDefault="0065555D" w:rsidP="007049D5">
            <w:pPr>
              <w:spacing w:after="0" w:line="240" w:lineRule="auto"/>
              <w:jc w:val="center"/>
              <w:rPr>
                <w:rFonts w:eastAsia="Times New Roman" w:cs="Times New Roman"/>
                <w:sz w:val="18"/>
                <w:szCs w:val="18"/>
              </w:rPr>
            </w:pPr>
          </w:p>
        </w:tc>
        <w:tc>
          <w:tcPr>
            <w:tcW w:w="0" w:type="auto"/>
            <w:tcBorders>
              <w:top w:val="nil"/>
              <w:left w:val="nil"/>
              <w:bottom w:val="nil"/>
              <w:right w:val="nil"/>
            </w:tcBorders>
            <w:vAlign w:val="center"/>
          </w:tcPr>
          <w:p w14:paraId="020229D6" w14:textId="77777777" w:rsidR="0065555D" w:rsidRPr="003463D2" w:rsidRDefault="0065555D" w:rsidP="007049D5">
            <w:pPr>
              <w:spacing w:after="0" w:line="240" w:lineRule="auto"/>
              <w:jc w:val="center"/>
              <w:rPr>
                <w:rFonts w:eastAsia="Times New Roman" w:cs="Times New Roman"/>
                <w:sz w:val="18"/>
                <w:szCs w:val="18"/>
              </w:rPr>
            </w:pPr>
          </w:p>
        </w:tc>
        <w:tc>
          <w:tcPr>
            <w:tcW w:w="0" w:type="auto"/>
            <w:tcBorders>
              <w:top w:val="nil"/>
              <w:left w:val="nil"/>
              <w:bottom w:val="nil"/>
              <w:right w:val="nil"/>
            </w:tcBorders>
            <w:shd w:val="clear" w:color="auto" w:fill="auto"/>
            <w:noWrap/>
            <w:vAlign w:val="center"/>
            <w:hideMark/>
          </w:tcPr>
          <w:p w14:paraId="280BB11D" w14:textId="77777777" w:rsidR="0065555D" w:rsidRPr="003463D2" w:rsidRDefault="0065555D" w:rsidP="007049D5">
            <w:pPr>
              <w:spacing w:after="0" w:line="240" w:lineRule="auto"/>
              <w:jc w:val="center"/>
              <w:rPr>
                <w:rFonts w:eastAsia="Times New Roman" w:cs="Times New Roman"/>
                <w:sz w:val="18"/>
                <w:szCs w:val="18"/>
              </w:rPr>
            </w:pPr>
          </w:p>
        </w:tc>
        <w:tc>
          <w:tcPr>
            <w:tcW w:w="0" w:type="auto"/>
            <w:tcBorders>
              <w:top w:val="nil"/>
              <w:left w:val="nil"/>
              <w:bottom w:val="nil"/>
              <w:right w:val="nil"/>
            </w:tcBorders>
            <w:shd w:val="clear" w:color="auto" w:fill="auto"/>
            <w:noWrap/>
            <w:vAlign w:val="center"/>
            <w:hideMark/>
          </w:tcPr>
          <w:p w14:paraId="63966C1E" w14:textId="77777777" w:rsidR="0065555D" w:rsidRPr="003463D2" w:rsidRDefault="0065555D" w:rsidP="007049D5">
            <w:pPr>
              <w:spacing w:after="0" w:line="240" w:lineRule="auto"/>
              <w:jc w:val="center"/>
              <w:rPr>
                <w:rFonts w:eastAsia="Times New Roman" w:cs="Times New Roman"/>
                <w:sz w:val="18"/>
                <w:szCs w:val="18"/>
              </w:rPr>
            </w:pPr>
          </w:p>
        </w:tc>
        <w:tc>
          <w:tcPr>
            <w:tcW w:w="0" w:type="auto"/>
            <w:tcBorders>
              <w:top w:val="nil"/>
              <w:left w:val="nil"/>
              <w:bottom w:val="nil"/>
              <w:right w:val="nil"/>
            </w:tcBorders>
            <w:shd w:val="clear" w:color="auto" w:fill="auto"/>
            <w:noWrap/>
            <w:vAlign w:val="center"/>
            <w:hideMark/>
          </w:tcPr>
          <w:p w14:paraId="1CBEAFCA" w14:textId="77777777" w:rsidR="0065555D" w:rsidRPr="003463D2" w:rsidRDefault="0065555D" w:rsidP="007049D5">
            <w:pPr>
              <w:spacing w:after="0" w:line="240" w:lineRule="auto"/>
              <w:jc w:val="center"/>
              <w:rPr>
                <w:rFonts w:eastAsia="Times New Roman" w:cs="Times New Roman"/>
                <w:sz w:val="18"/>
                <w:szCs w:val="18"/>
              </w:rPr>
            </w:pPr>
          </w:p>
        </w:tc>
        <w:tc>
          <w:tcPr>
            <w:tcW w:w="0" w:type="auto"/>
            <w:tcBorders>
              <w:top w:val="nil"/>
              <w:left w:val="nil"/>
              <w:bottom w:val="nil"/>
              <w:right w:val="nil"/>
            </w:tcBorders>
            <w:shd w:val="clear" w:color="auto" w:fill="auto"/>
            <w:noWrap/>
            <w:vAlign w:val="center"/>
            <w:hideMark/>
          </w:tcPr>
          <w:p w14:paraId="5A6A99A5" w14:textId="77777777" w:rsidR="0065555D" w:rsidRPr="003463D2" w:rsidRDefault="0065555D" w:rsidP="007049D5">
            <w:pPr>
              <w:spacing w:after="0" w:line="240" w:lineRule="auto"/>
              <w:jc w:val="center"/>
              <w:rPr>
                <w:rFonts w:eastAsia="Times New Roman" w:cs="Times New Roman"/>
                <w:sz w:val="18"/>
                <w:szCs w:val="18"/>
              </w:rPr>
            </w:pPr>
          </w:p>
        </w:tc>
        <w:tc>
          <w:tcPr>
            <w:tcW w:w="0" w:type="auto"/>
            <w:tcBorders>
              <w:top w:val="nil"/>
              <w:left w:val="nil"/>
              <w:bottom w:val="nil"/>
              <w:right w:val="nil"/>
            </w:tcBorders>
            <w:shd w:val="clear" w:color="auto" w:fill="auto"/>
            <w:noWrap/>
            <w:vAlign w:val="center"/>
            <w:hideMark/>
          </w:tcPr>
          <w:p w14:paraId="469530CC" w14:textId="77777777" w:rsidR="0065555D" w:rsidRPr="003463D2" w:rsidRDefault="0065555D" w:rsidP="007049D5">
            <w:pPr>
              <w:spacing w:after="0" w:line="240" w:lineRule="auto"/>
              <w:jc w:val="center"/>
              <w:rPr>
                <w:rFonts w:eastAsia="Times New Roman" w:cs="Times New Roman"/>
                <w:sz w:val="18"/>
                <w:szCs w:val="18"/>
              </w:rPr>
            </w:pPr>
          </w:p>
        </w:tc>
        <w:tc>
          <w:tcPr>
            <w:tcW w:w="0" w:type="auto"/>
            <w:tcBorders>
              <w:top w:val="nil"/>
              <w:left w:val="nil"/>
              <w:bottom w:val="nil"/>
              <w:right w:val="nil"/>
            </w:tcBorders>
            <w:shd w:val="clear" w:color="auto" w:fill="auto"/>
            <w:noWrap/>
            <w:vAlign w:val="center"/>
            <w:hideMark/>
          </w:tcPr>
          <w:p w14:paraId="647DE47D" w14:textId="77777777" w:rsidR="0065555D" w:rsidRPr="003463D2" w:rsidRDefault="0065555D" w:rsidP="007049D5">
            <w:pPr>
              <w:spacing w:after="0" w:line="240" w:lineRule="auto"/>
              <w:jc w:val="center"/>
              <w:rPr>
                <w:rFonts w:eastAsia="Times New Roman" w:cs="Times New Roman"/>
                <w:sz w:val="18"/>
                <w:szCs w:val="18"/>
              </w:rPr>
            </w:pPr>
          </w:p>
        </w:tc>
      </w:tr>
      <w:tr w:rsidR="0065555D" w:rsidRPr="003463D2" w14:paraId="409E4D94" w14:textId="77777777" w:rsidTr="007049D5">
        <w:trPr>
          <w:trHeight w:val="264"/>
          <w:jc w:val="center"/>
        </w:trPr>
        <w:tc>
          <w:tcPr>
            <w:tcW w:w="3244" w:type="dxa"/>
            <w:tcBorders>
              <w:top w:val="nil"/>
              <w:left w:val="nil"/>
              <w:bottom w:val="nil"/>
              <w:right w:val="nil"/>
            </w:tcBorders>
            <w:shd w:val="clear" w:color="auto" w:fill="auto"/>
            <w:noWrap/>
            <w:vAlign w:val="center"/>
            <w:hideMark/>
          </w:tcPr>
          <w:p w14:paraId="1CB0CD34" w14:textId="77777777" w:rsidR="0065555D" w:rsidRPr="003463D2" w:rsidRDefault="0065555D" w:rsidP="007049D5">
            <w:pPr>
              <w:spacing w:after="0" w:line="240" w:lineRule="auto"/>
              <w:jc w:val="left"/>
              <w:rPr>
                <w:rFonts w:eastAsia="Times New Roman" w:cs="Times New Roman"/>
                <w:sz w:val="18"/>
                <w:szCs w:val="18"/>
              </w:rPr>
            </w:pPr>
            <w:r w:rsidRPr="003463D2">
              <w:rPr>
                <w:rFonts w:eastAsia="Times New Roman" w:cs="Times New Roman"/>
                <w:sz w:val="18"/>
                <w:szCs w:val="18"/>
              </w:rPr>
              <w:t>N</w:t>
            </w:r>
          </w:p>
        </w:tc>
        <w:tc>
          <w:tcPr>
            <w:tcW w:w="0" w:type="auto"/>
            <w:gridSpan w:val="3"/>
            <w:tcBorders>
              <w:top w:val="nil"/>
              <w:left w:val="nil"/>
              <w:bottom w:val="nil"/>
              <w:right w:val="nil"/>
            </w:tcBorders>
            <w:shd w:val="clear" w:color="auto" w:fill="auto"/>
            <w:noWrap/>
            <w:vAlign w:val="center"/>
          </w:tcPr>
          <w:p w14:paraId="45BD1676" w14:textId="77777777" w:rsidR="0065555D" w:rsidRPr="003463D2" w:rsidRDefault="0065555D" w:rsidP="007049D5">
            <w:pPr>
              <w:spacing w:after="0" w:line="240" w:lineRule="auto"/>
              <w:jc w:val="center"/>
              <w:rPr>
                <w:rFonts w:eastAsia="Times New Roman" w:cs="Times New Roman"/>
                <w:sz w:val="18"/>
                <w:szCs w:val="18"/>
              </w:rPr>
            </w:pPr>
            <w:r w:rsidRPr="003463D2">
              <w:rPr>
                <w:rFonts w:eastAsia="Times New Roman" w:cs="Times New Roman"/>
                <w:sz w:val="18"/>
                <w:szCs w:val="18"/>
              </w:rPr>
              <w:t>16,529</w:t>
            </w:r>
          </w:p>
        </w:tc>
        <w:tc>
          <w:tcPr>
            <w:tcW w:w="0" w:type="auto"/>
            <w:gridSpan w:val="3"/>
            <w:tcBorders>
              <w:top w:val="nil"/>
              <w:left w:val="nil"/>
              <w:bottom w:val="nil"/>
              <w:right w:val="nil"/>
            </w:tcBorders>
            <w:vAlign w:val="center"/>
          </w:tcPr>
          <w:p w14:paraId="02138D27" w14:textId="77777777" w:rsidR="0065555D" w:rsidRPr="003463D2" w:rsidRDefault="0065555D" w:rsidP="007049D5">
            <w:pPr>
              <w:spacing w:after="0" w:line="240" w:lineRule="auto"/>
              <w:jc w:val="center"/>
              <w:rPr>
                <w:rFonts w:eastAsia="Times New Roman" w:cs="Times New Roman"/>
                <w:sz w:val="18"/>
                <w:szCs w:val="18"/>
              </w:rPr>
            </w:pPr>
            <w:r w:rsidRPr="003463D2">
              <w:rPr>
                <w:rFonts w:eastAsia="Times New Roman" w:cs="Times New Roman"/>
                <w:sz w:val="18"/>
                <w:szCs w:val="18"/>
              </w:rPr>
              <w:t>16,529</w:t>
            </w:r>
          </w:p>
        </w:tc>
        <w:tc>
          <w:tcPr>
            <w:tcW w:w="0" w:type="auto"/>
            <w:gridSpan w:val="3"/>
            <w:tcBorders>
              <w:top w:val="nil"/>
              <w:left w:val="nil"/>
              <w:bottom w:val="nil"/>
              <w:right w:val="nil"/>
            </w:tcBorders>
            <w:shd w:val="clear" w:color="auto" w:fill="auto"/>
            <w:noWrap/>
            <w:vAlign w:val="center"/>
          </w:tcPr>
          <w:p w14:paraId="431AD44E" w14:textId="77777777" w:rsidR="0065555D" w:rsidRPr="003463D2" w:rsidRDefault="0065555D" w:rsidP="007049D5">
            <w:pPr>
              <w:spacing w:after="0" w:line="240" w:lineRule="auto"/>
              <w:jc w:val="center"/>
              <w:rPr>
                <w:rFonts w:eastAsia="Times New Roman" w:cs="Times New Roman"/>
                <w:sz w:val="18"/>
                <w:szCs w:val="18"/>
              </w:rPr>
            </w:pPr>
            <w:r w:rsidRPr="003463D2">
              <w:rPr>
                <w:rFonts w:eastAsia="Times New Roman" w:cs="Times New Roman"/>
                <w:sz w:val="18"/>
                <w:szCs w:val="18"/>
              </w:rPr>
              <w:t>16,529</w:t>
            </w:r>
          </w:p>
        </w:tc>
        <w:tc>
          <w:tcPr>
            <w:tcW w:w="0" w:type="auto"/>
            <w:gridSpan w:val="3"/>
            <w:tcBorders>
              <w:top w:val="nil"/>
              <w:left w:val="nil"/>
              <w:bottom w:val="nil"/>
              <w:right w:val="nil"/>
            </w:tcBorders>
            <w:shd w:val="clear" w:color="auto" w:fill="auto"/>
            <w:noWrap/>
            <w:vAlign w:val="center"/>
          </w:tcPr>
          <w:p w14:paraId="774F8495" w14:textId="77777777" w:rsidR="0065555D" w:rsidRPr="003463D2" w:rsidRDefault="0065555D" w:rsidP="007049D5">
            <w:pPr>
              <w:spacing w:after="0" w:line="240" w:lineRule="auto"/>
              <w:jc w:val="center"/>
              <w:rPr>
                <w:rFonts w:eastAsia="Times New Roman" w:cs="Times New Roman"/>
                <w:sz w:val="18"/>
                <w:szCs w:val="18"/>
              </w:rPr>
            </w:pPr>
            <w:r w:rsidRPr="003463D2">
              <w:rPr>
                <w:rFonts w:eastAsia="Times New Roman" w:cs="Times New Roman"/>
                <w:sz w:val="18"/>
                <w:szCs w:val="18"/>
              </w:rPr>
              <w:t>16,529</w:t>
            </w:r>
          </w:p>
        </w:tc>
      </w:tr>
      <w:tr w:rsidR="0065555D" w:rsidRPr="003463D2" w14:paraId="5648F644" w14:textId="77777777" w:rsidTr="007049D5">
        <w:trPr>
          <w:trHeight w:val="264"/>
          <w:jc w:val="center"/>
        </w:trPr>
        <w:tc>
          <w:tcPr>
            <w:tcW w:w="3244" w:type="dxa"/>
            <w:tcBorders>
              <w:top w:val="nil"/>
              <w:left w:val="nil"/>
              <w:bottom w:val="single" w:sz="4" w:space="0" w:color="auto"/>
              <w:right w:val="nil"/>
            </w:tcBorders>
            <w:shd w:val="clear" w:color="auto" w:fill="auto"/>
            <w:noWrap/>
            <w:vAlign w:val="center"/>
            <w:hideMark/>
          </w:tcPr>
          <w:p w14:paraId="1412ED93" w14:textId="77777777" w:rsidR="0065555D" w:rsidRPr="003463D2" w:rsidRDefault="0065555D" w:rsidP="007049D5">
            <w:pPr>
              <w:spacing w:after="0" w:line="240" w:lineRule="auto"/>
              <w:jc w:val="left"/>
              <w:rPr>
                <w:rFonts w:eastAsia="Times New Roman" w:cs="Times New Roman"/>
                <w:sz w:val="18"/>
                <w:szCs w:val="18"/>
              </w:rPr>
            </w:pPr>
            <w:r w:rsidRPr="003463D2">
              <w:rPr>
                <w:rFonts w:eastAsia="Times New Roman" w:cs="Times New Roman"/>
                <w:sz w:val="18"/>
                <w:szCs w:val="18"/>
              </w:rPr>
              <w:t>Pseudo R-Square</w:t>
            </w:r>
          </w:p>
        </w:tc>
        <w:tc>
          <w:tcPr>
            <w:tcW w:w="0" w:type="auto"/>
            <w:gridSpan w:val="3"/>
            <w:tcBorders>
              <w:top w:val="nil"/>
              <w:left w:val="nil"/>
              <w:bottom w:val="single" w:sz="4" w:space="0" w:color="auto"/>
              <w:right w:val="nil"/>
            </w:tcBorders>
            <w:shd w:val="clear" w:color="auto" w:fill="auto"/>
            <w:noWrap/>
            <w:vAlign w:val="center"/>
          </w:tcPr>
          <w:p w14:paraId="3530ECD5" w14:textId="77777777" w:rsidR="0065555D" w:rsidRPr="003463D2" w:rsidRDefault="0065555D" w:rsidP="007049D5">
            <w:pPr>
              <w:spacing w:after="0" w:line="240" w:lineRule="auto"/>
              <w:jc w:val="center"/>
              <w:rPr>
                <w:rFonts w:eastAsia="Times New Roman" w:cs="Times New Roman"/>
                <w:sz w:val="18"/>
                <w:szCs w:val="18"/>
              </w:rPr>
            </w:pPr>
            <w:r w:rsidRPr="003463D2">
              <w:rPr>
                <w:rFonts w:eastAsia="Times New Roman" w:cs="Times New Roman"/>
                <w:sz w:val="18"/>
                <w:szCs w:val="18"/>
              </w:rPr>
              <w:t>0.11</w:t>
            </w:r>
          </w:p>
        </w:tc>
        <w:tc>
          <w:tcPr>
            <w:tcW w:w="0" w:type="auto"/>
            <w:gridSpan w:val="3"/>
            <w:tcBorders>
              <w:top w:val="nil"/>
              <w:left w:val="nil"/>
              <w:bottom w:val="single" w:sz="4" w:space="0" w:color="auto"/>
              <w:right w:val="nil"/>
            </w:tcBorders>
            <w:vAlign w:val="center"/>
          </w:tcPr>
          <w:p w14:paraId="30FA6559" w14:textId="77777777" w:rsidR="0065555D" w:rsidRPr="003463D2" w:rsidRDefault="0065555D" w:rsidP="007049D5">
            <w:pPr>
              <w:spacing w:after="0" w:line="240" w:lineRule="auto"/>
              <w:jc w:val="center"/>
              <w:rPr>
                <w:rFonts w:eastAsia="Times New Roman" w:cs="Times New Roman"/>
                <w:sz w:val="18"/>
                <w:szCs w:val="18"/>
              </w:rPr>
            </w:pPr>
            <w:r w:rsidRPr="003463D2">
              <w:rPr>
                <w:rFonts w:eastAsia="Times New Roman" w:cs="Times New Roman"/>
                <w:sz w:val="18"/>
                <w:szCs w:val="18"/>
              </w:rPr>
              <w:t>0.11</w:t>
            </w:r>
          </w:p>
        </w:tc>
        <w:tc>
          <w:tcPr>
            <w:tcW w:w="0" w:type="auto"/>
            <w:gridSpan w:val="3"/>
            <w:tcBorders>
              <w:top w:val="nil"/>
              <w:left w:val="nil"/>
              <w:bottom w:val="single" w:sz="4" w:space="0" w:color="auto"/>
              <w:right w:val="nil"/>
            </w:tcBorders>
            <w:shd w:val="clear" w:color="auto" w:fill="auto"/>
            <w:noWrap/>
            <w:vAlign w:val="center"/>
          </w:tcPr>
          <w:p w14:paraId="110EC321" w14:textId="77777777" w:rsidR="0065555D" w:rsidRPr="003463D2" w:rsidRDefault="0065555D" w:rsidP="007049D5">
            <w:pPr>
              <w:spacing w:after="0" w:line="240" w:lineRule="auto"/>
              <w:jc w:val="center"/>
              <w:rPr>
                <w:rFonts w:eastAsia="Times New Roman" w:cs="Times New Roman"/>
                <w:sz w:val="18"/>
                <w:szCs w:val="18"/>
              </w:rPr>
            </w:pPr>
            <w:r w:rsidRPr="003463D2">
              <w:rPr>
                <w:rFonts w:eastAsia="Times New Roman" w:cs="Times New Roman"/>
                <w:sz w:val="18"/>
                <w:szCs w:val="18"/>
              </w:rPr>
              <w:t>0.11</w:t>
            </w:r>
          </w:p>
        </w:tc>
        <w:tc>
          <w:tcPr>
            <w:tcW w:w="0" w:type="auto"/>
            <w:gridSpan w:val="3"/>
            <w:tcBorders>
              <w:top w:val="nil"/>
              <w:left w:val="nil"/>
              <w:bottom w:val="single" w:sz="4" w:space="0" w:color="auto"/>
              <w:right w:val="nil"/>
            </w:tcBorders>
            <w:shd w:val="clear" w:color="auto" w:fill="auto"/>
            <w:noWrap/>
            <w:vAlign w:val="center"/>
          </w:tcPr>
          <w:p w14:paraId="7E607A83" w14:textId="77777777" w:rsidR="0065555D" w:rsidRPr="003463D2" w:rsidRDefault="0065555D" w:rsidP="007049D5">
            <w:pPr>
              <w:spacing w:after="0" w:line="240" w:lineRule="auto"/>
              <w:jc w:val="center"/>
              <w:rPr>
                <w:rFonts w:eastAsia="Times New Roman" w:cs="Times New Roman"/>
                <w:sz w:val="18"/>
                <w:szCs w:val="18"/>
              </w:rPr>
            </w:pPr>
            <w:r w:rsidRPr="003463D2">
              <w:rPr>
                <w:rFonts w:eastAsia="Times New Roman" w:cs="Times New Roman"/>
                <w:sz w:val="18"/>
                <w:szCs w:val="18"/>
              </w:rPr>
              <w:t>0.12</w:t>
            </w:r>
          </w:p>
        </w:tc>
      </w:tr>
    </w:tbl>
    <w:p w14:paraId="481C6026" w14:textId="77777777" w:rsidR="0065555D" w:rsidRDefault="0065555D" w:rsidP="00FB3903">
      <w:pPr>
        <w:spacing w:line="240" w:lineRule="auto"/>
        <w:jc w:val="center"/>
      </w:pPr>
      <w:r>
        <w:t>Panel B: Diversification measured using the Property’s HHI</w:t>
      </w:r>
    </w:p>
    <w:tbl>
      <w:tblPr>
        <w:tblW w:w="0" w:type="auto"/>
        <w:jc w:val="center"/>
        <w:tblCellMar>
          <w:left w:w="43" w:type="dxa"/>
          <w:right w:w="43" w:type="dxa"/>
        </w:tblCellMar>
        <w:tblLook w:val="04A0" w:firstRow="1" w:lastRow="0" w:firstColumn="1" w:lastColumn="0" w:noHBand="0" w:noVBand="1"/>
      </w:tblPr>
      <w:tblGrid>
        <w:gridCol w:w="2789"/>
        <w:gridCol w:w="896"/>
        <w:gridCol w:w="581"/>
        <w:gridCol w:w="791"/>
        <w:gridCol w:w="896"/>
        <w:gridCol w:w="581"/>
        <w:gridCol w:w="791"/>
        <w:gridCol w:w="896"/>
        <w:gridCol w:w="581"/>
        <w:gridCol w:w="791"/>
      </w:tblGrid>
      <w:tr w:rsidR="0065555D" w:rsidRPr="00A41CD4" w14:paraId="292B8C2B" w14:textId="77777777" w:rsidTr="0094653F">
        <w:trPr>
          <w:trHeight w:val="264"/>
          <w:jc w:val="center"/>
        </w:trPr>
        <w:tc>
          <w:tcPr>
            <w:tcW w:w="0" w:type="auto"/>
            <w:vMerge w:val="restart"/>
            <w:tcBorders>
              <w:top w:val="single" w:sz="4" w:space="0" w:color="auto"/>
              <w:left w:val="nil"/>
              <w:right w:val="nil"/>
            </w:tcBorders>
            <w:shd w:val="clear" w:color="auto" w:fill="auto"/>
            <w:noWrap/>
            <w:vAlign w:val="bottom"/>
          </w:tcPr>
          <w:p w14:paraId="03A17CA8" w14:textId="77777777" w:rsidR="0065555D" w:rsidRPr="00A41CD4" w:rsidRDefault="0065555D" w:rsidP="00FB3903">
            <w:pPr>
              <w:spacing w:after="0" w:line="240" w:lineRule="auto"/>
              <w:rPr>
                <w:rFonts w:eastAsia="Times New Roman" w:cs="Times New Roman"/>
                <w:sz w:val="18"/>
                <w:szCs w:val="18"/>
              </w:rPr>
            </w:pPr>
            <w:r w:rsidRPr="00A41CD4">
              <w:rPr>
                <w:rFonts w:eastAsia="Times New Roman" w:cs="Times New Roman"/>
                <w:sz w:val="18"/>
                <w:szCs w:val="18"/>
              </w:rPr>
              <w:t>Variable</w:t>
            </w:r>
          </w:p>
        </w:tc>
        <w:tc>
          <w:tcPr>
            <w:tcW w:w="0" w:type="auto"/>
            <w:gridSpan w:val="3"/>
            <w:tcBorders>
              <w:top w:val="single" w:sz="4" w:space="0" w:color="auto"/>
              <w:left w:val="nil"/>
              <w:bottom w:val="single" w:sz="4" w:space="0" w:color="auto"/>
              <w:right w:val="nil"/>
            </w:tcBorders>
            <w:shd w:val="clear" w:color="auto" w:fill="auto"/>
            <w:noWrap/>
            <w:vAlign w:val="center"/>
          </w:tcPr>
          <w:p w14:paraId="6537ED41" w14:textId="77777777" w:rsidR="0065555D" w:rsidRPr="00A41CD4" w:rsidRDefault="0065555D" w:rsidP="0094653F">
            <w:pPr>
              <w:spacing w:after="0" w:line="240" w:lineRule="auto"/>
              <w:jc w:val="center"/>
              <w:rPr>
                <w:rFonts w:eastAsia="Times New Roman" w:cs="Times New Roman"/>
                <w:color w:val="000000"/>
                <w:sz w:val="18"/>
                <w:szCs w:val="18"/>
              </w:rPr>
            </w:pPr>
            <w:r w:rsidRPr="00A41CD4">
              <w:rPr>
                <w:rFonts w:eastAsia="Times New Roman" w:cs="Times New Roman"/>
                <w:color w:val="000000"/>
                <w:sz w:val="18"/>
                <w:szCs w:val="18"/>
              </w:rPr>
              <w:t>Specification 1</w:t>
            </w:r>
          </w:p>
        </w:tc>
        <w:tc>
          <w:tcPr>
            <w:tcW w:w="0" w:type="auto"/>
            <w:gridSpan w:val="3"/>
            <w:tcBorders>
              <w:top w:val="single" w:sz="4" w:space="0" w:color="auto"/>
              <w:left w:val="nil"/>
              <w:bottom w:val="single" w:sz="4" w:space="0" w:color="auto"/>
              <w:right w:val="nil"/>
            </w:tcBorders>
            <w:shd w:val="clear" w:color="auto" w:fill="auto"/>
            <w:noWrap/>
            <w:vAlign w:val="center"/>
          </w:tcPr>
          <w:p w14:paraId="2D95C79B" w14:textId="77777777" w:rsidR="0065555D" w:rsidRPr="00A41CD4" w:rsidRDefault="0065555D" w:rsidP="0094653F">
            <w:pPr>
              <w:spacing w:after="0" w:line="240" w:lineRule="auto"/>
              <w:jc w:val="center"/>
              <w:rPr>
                <w:rFonts w:eastAsia="Times New Roman" w:cs="Times New Roman"/>
                <w:color w:val="000000"/>
                <w:sz w:val="18"/>
                <w:szCs w:val="18"/>
              </w:rPr>
            </w:pPr>
            <w:r w:rsidRPr="00A41CD4">
              <w:rPr>
                <w:rFonts w:eastAsia="Times New Roman" w:cs="Times New Roman"/>
                <w:color w:val="000000"/>
                <w:sz w:val="18"/>
                <w:szCs w:val="18"/>
              </w:rPr>
              <w:t>Specification 2</w:t>
            </w:r>
          </w:p>
        </w:tc>
        <w:tc>
          <w:tcPr>
            <w:tcW w:w="0" w:type="auto"/>
            <w:gridSpan w:val="3"/>
            <w:tcBorders>
              <w:top w:val="single" w:sz="4" w:space="0" w:color="auto"/>
              <w:left w:val="nil"/>
              <w:bottom w:val="single" w:sz="4" w:space="0" w:color="auto"/>
              <w:right w:val="nil"/>
            </w:tcBorders>
            <w:shd w:val="clear" w:color="auto" w:fill="auto"/>
            <w:noWrap/>
            <w:vAlign w:val="center"/>
          </w:tcPr>
          <w:p w14:paraId="66175BD9" w14:textId="77777777" w:rsidR="0065555D" w:rsidRPr="00A41CD4" w:rsidRDefault="0065555D" w:rsidP="0094653F">
            <w:pPr>
              <w:spacing w:after="0" w:line="240" w:lineRule="auto"/>
              <w:jc w:val="center"/>
              <w:rPr>
                <w:rFonts w:eastAsia="Times New Roman" w:cs="Times New Roman"/>
                <w:color w:val="000000"/>
                <w:sz w:val="18"/>
                <w:szCs w:val="18"/>
              </w:rPr>
            </w:pPr>
            <w:r w:rsidRPr="00A41CD4">
              <w:rPr>
                <w:rFonts w:eastAsia="Times New Roman" w:cs="Times New Roman"/>
                <w:color w:val="000000"/>
                <w:sz w:val="18"/>
                <w:szCs w:val="18"/>
              </w:rPr>
              <w:t>Specification 3</w:t>
            </w:r>
          </w:p>
        </w:tc>
      </w:tr>
      <w:tr w:rsidR="0065555D" w:rsidRPr="00A41CD4" w14:paraId="060FEC73" w14:textId="77777777" w:rsidTr="0094653F">
        <w:trPr>
          <w:trHeight w:val="264"/>
          <w:jc w:val="center"/>
        </w:trPr>
        <w:tc>
          <w:tcPr>
            <w:tcW w:w="0" w:type="auto"/>
            <w:vMerge/>
            <w:tcBorders>
              <w:left w:val="nil"/>
              <w:bottom w:val="single" w:sz="4" w:space="0" w:color="auto"/>
              <w:right w:val="nil"/>
            </w:tcBorders>
            <w:shd w:val="clear" w:color="auto" w:fill="auto"/>
            <w:noWrap/>
            <w:vAlign w:val="bottom"/>
            <w:hideMark/>
          </w:tcPr>
          <w:p w14:paraId="06AD1C86" w14:textId="77777777" w:rsidR="0065555D" w:rsidRPr="00A41CD4" w:rsidRDefault="0065555D" w:rsidP="00FB3903">
            <w:pPr>
              <w:spacing w:after="0" w:line="240" w:lineRule="auto"/>
              <w:rPr>
                <w:rFonts w:eastAsia="Times New Roman" w:cs="Times New Roman"/>
                <w:sz w:val="18"/>
                <w:szCs w:val="18"/>
              </w:rPr>
            </w:pPr>
          </w:p>
        </w:tc>
        <w:tc>
          <w:tcPr>
            <w:tcW w:w="0" w:type="auto"/>
            <w:tcBorders>
              <w:top w:val="single" w:sz="4" w:space="0" w:color="auto"/>
              <w:left w:val="nil"/>
              <w:bottom w:val="single" w:sz="4" w:space="0" w:color="auto"/>
              <w:right w:val="nil"/>
            </w:tcBorders>
            <w:shd w:val="clear" w:color="auto" w:fill="auto"/>
            <w:noWrap/>
            <w:vAlign w:val="bottom"/>
            <w:hideMark/>
          </w:tcPr>
          <w:p w14:paraId="3A2BFE6C" w14:textId="77777777" w:rsidR="0065555D" w:rsidRPr="00A41CD4" w:rsidRDefault="0065555D" w:rsidP="0094653F">
            <w:pPr>
              <w:spacing w:after="0" w:line="240" w:lineRule="auto"/>
              <w:jc w:val="center"/>
              <w:rPr>
                <w:rFonts w:eastAsia="Times New Roman" w:cs="Times New Roman"/>
                <w:color w:val="000000"/>
                <w:sz w:val="18"/>
                <w:szCs w:val="18"/>
              </w:rPr>
            </w:pPr>
            <w:r w:rsidRPr="00A41CD4">
              <w:rPr>
                <w:rFonts w:eastAsia="Times New Roman" w:cs="Times New Roman"/>
                <w:color w:val="000000"/>
                <w:sz w:val="18"/>
                <w:szCs w:val="18"/>
              </w:rPr>
              <w:t>Coefficient</w:t>
            </w:r>
          </w:p>
          <w:p w14:paraId="44CC427C" w14:textId="77777777" w:rsidR="0065555D" w:rsidRPr="00A41CD4" w:rsidRDefault="0065555D" w:rsidP="0094653F">
            <w:pPr>
              <w:spacing w:after="0" w:line="240" w:lineRule="auto"/>
              <w:jc w:val="center"/>
              <w:rPr>
                <w:rFonts w:eastAsia="Times New Roman" w:cs="Times New Roman"/>
                <w:color w:val="000000"/>
                <w:sz w:val="18"/>
                <w:szCs w:val="18"/>
              </w:rPr>
            </w:pPr>
            <w:r w:rsidRPr="00A41CD4">
              <w:rPr>
                <w:rFonts w:eastAsia="Times New Roman" w:cs="Times New Roman"/>
                <w:color w:val="000000"/>
                <w:sz w:val="18"/>
                <w:szCs w:val="18"/>
              </w:rPr>
              <w:t>Estimate</w:t>
            </w:r>
          </w:p>
        </w:tc>
        <w:tc>
          <w:tcPr>
            <w:tcW w:w="0" w:type="auto"/>
            <w:tcBorders>
              <w:top w:val="single" w:sz="4" w:space="0" w:color="auto"/>
              <w:left w:val="nil"/>
              <w:bottom w:val="single" w:sz="4" w:space="0" w:color="auto"/>
              <w:right w:val="nil"/>
            </w:tcBorders>
            <w:shd w:val="clear" w:color="auto" w:fill="auto"/>
            <w:noWrap/>
            <w:vAlign w:val="bottom"/>
            <w:hideMark/>
          </w:tcPr>
          <w:p w14:paraId="6B1F734C" w14:textId="77777777" w:rsidR="0065555D" w:rsidRPr="00A41CD4" w:rsidRDefault="0065555D" w:rsidP="0094653F">
            <w:pPr>
              <w:spacing w:after="0" w:line="240" w:lineRule="auto"/>
              <w:jc w:val="center"/>
              <w:rPr>
                <w:rFonts w:eastAsia="Times New Roman" w:cs="Times New Roman"/>
                <w:color w:val="000000"/>
                <w:sz w:val="18"/>
                <w:szCs w:val="18"/>
              </w:rPr>
            </w:pPr>
            <w:r w:rsidRPr="00A41CD4">
              <w:rPr>
                <w:rFonts w:eastAsia="Times New Roman" w:cs="Times New Roman"/>
                <w:color w:val="000000"/>
                <w:sz w:val="18"/>
                <w:szCs w:val="18"/>
              </w:rPr>
              <w:t>Odds</w:t>
            </w:r>
          </w:p>
          <w:p w14:paraId="30972C29" w14:textId="77777777" w:rsidR="0065555D" w:rsidRPr="00A41CD4" w:rsidRDefault="0065555D" w:rsidP="0094653F">
            <w:pPr>
              <w:spacing w:after="0" w:line="240" w:lineRule="auto"/>
              <w:jc w:val="center"/>
              <w:rPr>
                <w:rFonts w:eastAsia="Times New Roman" w:cs="Times New Roman"/>
                <w:color w:val="000000"/>
                <w:sz w:val="18"/>
                <w:szCs w:val="18"/>
              </w:rPr>
            </w:pPr>
            <w:r w:rsidRPr="00A41CD4">
              <w:rPr>
                <w:rFonts w:eastAsia="Times New Roman" w:cs="Times New Roman"/>
                <w:color w:val="000000"/>
                <w:sz w:val="18"/>
                <w:szCs w:val="18"/>
              </w:rPr>
              <w:t>Ratio</w:t>
            </w:r>
          </w:p>
        </w:tc>
        <w:tc>
          <w:tcPr>
            <w:tcW w:w="0" w:type="auto"/>
            <w:tcBorders>
              <w:top w:val="single" w:sz="4" w:space="0" w:color="auto"/>
              <w:left w:val="nil"/>
              <w:bottom w:val="single" w:sz="4" w:space="0" w:color="auto"/>
              <w:right w:val="nil"/>
            </w:tcBorders>
            <w:shd w:val="clear" w:color="auto" w:fill="auto"/>
            <w:noWrap/>
            <w:vAlign w:val="bottom"/>
            <w:hideMark/>
          </w:tcPr>
          <w:p w14:paraId="3285FCFC" w14:textId="77777777" w:rsidR="0065555D" w:rsidRPr="00A41CD4" w:rsidRDefault="0065555D" w:rsidP="0094653F">
            <w:pPr>
              <w:spacing w:after="0" w:line="240" w:lineRule="auto"/>
              <w:jc w:val="center"/>
              <w:rPr>
                <w:rFonts w:eastAsia="Times New Roman" w:cs="Times New Roman"/>
                <w:color w:val="000000"/>
                <w:sz w:val="18"/>
                <w:szCs w:val="18"/>
              </w:rPr>
            </w:pPr>
            <w:r w:rsidRPr="00A41CD4">
              <w:rPr>
                <w:rFonts w:eastAsia="Times New Roman" w:cs="Times New Roman"/>
                <w:color w:val="000000"/>
                <w:sz w:val="18"/>
                <w:szCs w:val="18"/>
              </w:rPr>
              <w:t>Z-stat</w:t>
            </w:r>
          </w:p>
        </w:tc>
        <w:tc>
          <w:tcPr>
            <w:tcW w:w="0" w:type="auto"/>
            <w:tcBorders>
              <w:top w:val="single" w:sz="4" w:space="0" w:color="auto"/>
              <w:left w:val="nil"/>
              <w:bottom w:val="single" w:sz="4" w:space="0" w:color="auto"/>
              <w:right w:val="nil"/>
            </w:tcBorders>
            <w:shd w:val="clear" w:color="auto" w:fill="auto"/>
            <w:noWrap/>
            <w:vAlign w:val="bottom"/>
            <w:hideMark/>
          </w:tcPr>
          <w:p w14:paraId="59470C16" w14:textId="77777777" w:rsidR="0065555D" w:rsidRPr="00A41CD4" w:rsidRDefault="0065555D" w:rsidP="0094653F">
            <w:pPr>
              <w:spacing w:after="0" w:line="240" w:lineRule="auto"/>
              <w:jc w:val="center"/>
              <w:rPr>
                <w:rFonts w:eastAsia="Times New Roman" w:cs="Times New Roman"/>
                <w:color w:val="000000"/>
                <w:sz w:val="18"/>
                <w:szCs w:val="18"/>
              </w:rPr>
            </w:pPr>
            <w:r w:rsidRPr="00A41CD4">
              <w:rPr>
                <w:rFonts w:eastAsia="Times New Roman" w:cs="Times New Roman"/>
                <w:color w:val="000000"/>
                <w:sz w:val="18"/>
                <w:szCs w:val="18"/>
              </w:rPr>
              <w:t>Coefficient</w:t>
            </w:r>
          </w:p>
          <w:p w14:paraId="15A79F35" w14:textId="77777777" w:rsidR="0065555D" w:rsidRPr="00A41CD4" w:rsidRDefault="0065555D" w:rsidP="0094653F">
            <w:pPr>
              <w:spacing w:after="0" w:line="240" w:lineRule="auto"/>
              <w:jc w:val="center"/>
              <w:rPr>
                <w:rFonts w:eastAsia="Times New Roman" w:cs="Times New Roman"/>
                <w:color w:val="000000"/>
                <w:sz w:val="18"/>
                <w:szCs w:val="18"/>
              </w:rPr>
            </w:pPr>
            <w:r w:rsidRPr="00A41CD4">
              <w:rPr>
                <w:rFonts w:eastAsia="Times New Roman" w:cs="Times New Roman"/>
                <w:color w:val="000000"/>
                <w:sz w:val="18"/>
                <w:szCs w:val="18"/>
              </w:rPr>
              <w:t>Estimate</w:t>
            </w:r>
          </w:p>
        </w:tc>
        <w:tc>
          <w:tcPr>
            <w:tcW w:w="0" w:type="auto"/>
            <w:tcBorders>
              <w:top w:val="single" w:sz="4" w:space="0" w:color="auto"/>
              <w:left w:val="nil"/>
              <w:bottom w:val="single" w:sz="4" w:space="0" w:color="auto"/>
              <w:right w:val="nil"/>
            </w:tcBorders>
            <w:shd w:val="clear" w:color="auto" w:fill="auto"/>
            <w:noWrap/>
            <w:vAlign w:val="bottom"/>
            <w:hideMark/>
          </w:tcPr>
          <w:p w14:paraId="5A93675B" w14:textId="77777777" w:rsidR="0065555D" w:rsidRPr="00A41CD4" w:rsidRDefault="0065555D" w:rsidP="0094653F">
            <w:pPr>
              <w:spacing w:after="0" w:line="240" w:lineRule="auto"/>
              <w:jc w:val="center"/>
              <w:rPr>
                <w:rFonts w:eastAsia="Times New Roman" w:cs="Times New Roman"/>
                <w:color w:val="000000"/>
                <w:sz w:val="18"/>
                <w:szCs w:val="18"/>
              </w:rPr>
            </w:pPr>
            <w:r w:rsidRPr="00A41CD4">
              <w:rPr>
                <w:rFonts w:eastAsia="Times New Roman" w:cs="Times New Roman"/>
                <w:color w:val="000000"/>
                <w:sz w:val="18"/>
                <w:szCs w:val="18"/>
              </w:rPr>
              <w:t>Odds</w:t>
            </w:r>
          </w:p>
          <w:p w14:paraId="63F0E340" w14:textId="77777777" w:rsidR="0065555D" w:rsidRPr="00A41CD4" w:rsidRDefault="0065555D" w:rsidP="0094653F">
            <w:pPr>
              <w:spacing w:after="0" w:line="240" w:lineRule="auto"/>
              <w:jc w:val="center"/>
              <w:rPr>
                <w:rFonts w:eastAsia="Times New Roman" w:cs="Times New Roman"/>
                <w:color w:val="000000"/>
                <w:sz w:val="18"/>
                <w:szCs w:val="18"/>
              </w:rPr>
            </w:pPr>
            <w:r w:rsidRPr="00A41CD4">
              <w:rPr>
                <w:rFonts w:eastAsia="Times New Roman" w:cs="Times New Roman"/>
                <w:color w:val="000000"/>
                <w:sz w:val="18"/>
                <w:szCs w:val="18"/>
              </w:rPr>
              <w:t>Ratio</w:t>
            </w:r>
          </w:p>
        </w:tc>
        <w:tc>
          <w:tcPr>
            <w:tcW w:w="0" w:type="auto"/>
            <w:tcBorders>
              <w:top w:val="single" w:sz="4" w:space="0" w:color="auto"/>
              <w:left w:val="nil"/>
              <w:bottom w:val="single" w:sz="4" w:space="0" w:color="auto"/>
              <w:right w:val="nil"/>
            </w:tcBorders>
            <w:shd w:val="clear" w:color="auto" w:fill="auto"/>
            <w:noWrap/>
            <w:vAlign w:val="bottom"/>
            <w:hideMark/>
          </w:tcPr>
          <w:p w14:paraId="2B4AFC3F" w14:textId="77777777" w:rsidR="0065555D" w:rsidRPr="00A41CD4" w:rsidRDefault="0065555D" w:rsidP="0094653F">
            <w:pPr>
              <w:spacing w:after="0" w:line="240" w:lineRule="auto"/>
              <w:jc w:val="center"/>
              <w:rPr>
                <w:rFonts w:eastAsia="Times New Roman" w:cs="Times New Roman"/>
                <w:color w:val="000000"/>
                <w:sz w:val="18"/>
                <w:szCs w:val="18"/>
              </w:rPr>
            </w:pPr>
            <w:r w:rsidRPr="00A41CD4">
              <w:rPr>
                <w:rFonts w:eastAsia="Times New Roman" w:cs="Times New Roman"/>
                <w:color w:val="000000"/>
                <w:sz w:val="18"/>
                <w:szCs w:val="18"/>
              </w:rPr>
              <w:t>Z-stat</w:t>
            </w:r>
          </w:p>
        </w:tc>
        <w:tc>
          <w:tcPr>
            <w:tcW w:w="0" w:type="auto"/>
            <w:tcBorders>
              <w:top w:val="single" w:sz="4" w:space="0" w:color="auto"/>
              <w:left w:val="nil"/>
              <w:bottom w:val="single" w:sz="4" w:space="0" w:color="auto"/>
              <w:right w:val="nil"/>
            </w:tcBorders>
            <w:shd w:val="clear" w:color="auto" w:fill="auto"/>
            <w:noWrap/>
            <w:vAlign w:val="bottom"/>
            <w:hideMark/>
          </w:tcPr>
          <w:p w14:paraId="76BBC93C" w14:textId="77777777" w:rsidR="0065555D" w:rsidRPr="00A41CD4" w:rsidRDefault="0065555D" w:rsidP="0094653F">
            <w:pPr>
              <w:spacing w:after="0" w:line="240" w:lineRule="auto"/>
              <w:jc w:val="center"/>
              <w:rPr>
                <w:rFonts w:eastAsia="Times New Roman" w:cs="Times New Roman"/>
                <w:color w:val="000000"/>
                <w:sz w:val="18"/>
                <w:szCs w:val="18"/>
              </w:rPr>
            </w:pPr>
            <w:r w:rsidRPr="00A41CD4">
              <w:rPr>
                <w:rFonts w:eastAsia="Times New Roman" w:cs="Times New Roman"/>
                <w:color w:val="000000"/>
                <w:sz w:val="18"/>
                <w:szCs w:val="18"/>
              </w:rPr>
              <w:t>Coefficient</w:t>
            </w:r>
          </w:p>
          <w:p w14:paraId="1D240686" w14:textId="77777777" w:rsidR="0065555D" w:rsidRPr="00A41CD4" w:rsidRDefault="0065555D" w:rsidP="0094653F">
            <w:pPr>
              <w:spacing w:after="0" w:line="240" w:lineRule="auto"/>
              <w:jc w:val="center"/>
              <w:rPr>
                <w:rFonts w:eastAsia="Times New Roman" w:cs="Times New Roman"/>
                <w:color w:val="000000"/>
                <w:sz w:val="18"/>
                <w:szCs w:val="18"/>
              </w:rPr>
            </w:pPr>
            <w:r w:rsidRPr="00A41CD4">
              <w:rPr>
                <w:rFonts w:eastAsia="Times New Roman" w:cs="Times New Roman"/>
                <w:color w:val="000000"/>
                <w:sz w:val="18"/>
                <w:szCs w:val="18"/>
              </w:rPr>
              <w:t>Estimate</w:t>
            </w:r>
          </w:p>
        </w:tc>
        <w:tc>
          <w:tcPr>
            <w:tcW w:w="0" w:type="auto"/>
            <w:tcBorders>
              <w:top w:val="single" w:sz="4" w:space="0" w:color="auto"/>
              <w:left w:val="nil"/>
              <w:bottom w:val="single" w:sz="4" w:space="0" w:color="auto"/>
              <w:right w:val="nil"/>
            </w:tcBorders>
            <w:shd w:val="clear" w:color="auto" w:fill="auto"/>
            <w:noWrap/>
            <w:vAlign w:val="bottom"/>
            <w:hideMark/>
          </w:tcPr>
          <w:p w14:paraId="0A1B02BF" w14:textId="77777777" w:rsidR="0065555D" w:rsidRPr="00A41CD4" w:rsidRDefault="0065555D" w:rsidP="0094653F">
            <w:pPr>
              <w:spacing w:after="0" w:line="240" w:lineRule="auto"/>
              <w:jc w:val="center"/>
              <w:rPr>
                <w:rFonts w:eastAsia="Times New Roman" w:cs="Times New Roman"/>
                <w:color w:val="000000"/>
                <w:sz w:val="18"/>
                <w:szCs w:val="18"/>
              </w:rPr>
            </w:pPr>
            <w:r w:rsidRPr="00A41CD4">
              <w:rPr>
                <w:rFonts w:eastAsia="Times New Roman" w:cs="Times New Roman"/>
                <w:color w:val="000000"/>
                <w:sz w:val="18"/>
                <w:szCs w:val="18"/>
              </w:rPr>
              <w:t>Odds</w:t>
            </w:r>
          </w:p>
          <w:p w14:paraId="4945187A" w14:textId="77777777" w:rsidR="0065555D" w:rsidRPr="00A41CD4" w:rsidRDefault="0065555D" w:rsidP="0094653F">
            <w:pPr>
              <w:spacing w:after="0" w:line="240" w:lineRule="auto"/>
              <w:jc w:val="center"/>
              <w:rPr>
                <w:rFonts w:eastAsia="Times New Roman" w:cs="Times New Roman"/>
                <w:color w:val="000000"/>
                <w:sz w:val="18"/>
                <w:szCs w:val="18"/>
              </w:rPr>
            </w:pPr>
            <w:r w:rsidRPr="00A41CD4">
              <w:rPr>
                <w:rFonts w:eastAsia="Times New Roman" w:cs="Times New Roman"/>
                <w:color w:val="000000"/>
                <w:sz w:val="18"/>
                <w:szCs w:val="18"/>
              </w:rPr>
              <w:t>Ratio</w:t>
            </w:r>
          </w:p>
        </w:tc>
        <w:tc>
          <w:tcPr>
            <w:tcW w:w="0" w:type="auto"/>
            <w:tcBorders>
              <w:top w:val="single" w:sz="4" w:space="0" w:color="auto"/>
              <w:left w:val="nil"/>
              <w:bottom w:val="single" w:sz="4" w:space="0" w:color="auto"/>
              <w:right w:val="nil"/>
            </w:tcBorders>
            <w:shd w:val="clear" w:color="auto" w:fill="auto"/>
            <w:noWrap/>
            <w:vAlign w:val="bottom"/>
            <w:hideMark/>
          </w:tcPr>
          <w:p w14:paraId="7AC8D7E9" w14:textId="77777777" w:rsidR="0065555D" w:rsidRPr="00A41CD4" w:rsidRDefault="0065555D" w:rsidP="0094653F">
            <w:pPr>
              <w:spacing w:after="0" w:line="240" w:lineRule="auto"/>
              <w:jc w:val="center"/>
              <w:rPr>
                <w:rFonts w:eastAsia="Times New Roman" w:cs="Times New Roman"/>
                <w:color w:val="000000"/>
                <w:sz w:val="18"/>
                <w:szCs w:val="18"/>
              </w:rPr>
            </w:pPr>
            <w:r w:rsidRPr="00A41CD4">
              <w:rPr>
                <w:rFonts w:eastAsia="Times New Roman" w:cs="Times New Roman"/>
                <w:color w:val="000000"/>
                <w:sz w:val="18"/>
                <w:szCs w:val="18"/>
              </w:rPr>
              <w:t>Z-stat</w:t>
            </w:r>
          </w:p>
        </w:tc>
      </w:tr>
      <w:tr w:rsidR="0065555D" w:rsidRPr="00A41CD4" w14:paraId="6F084C73" w14:textId="77777777" w:rsidTr="0094653F">
        <w:trPr>
          <w:trHeight w:val="264"/>
          <w:jc w:val="center"/>
        </w:trPr>
        <w:tc>
          <w:tcPr>
            <w:tcW w:w="0" w:type="auto"/>
            <w:tcBorders>
              <w:top w:val="nil"/>
              <w:left w:val="nil"/>
              <w:bottom w:val="nil"/>
              <w:right w:val="nil"/>
            </w:tcBorders>
            <w:shd w:val="clear" w:color="auto" w:fill="auto"/>
            <w:noWrap/>
            <w:vAlign w:val="center"/>
            <w:hideMark/>
          </w:tcPr>
          <w:p w14:paraId="2BEEB359" w14:textId="77777777" w:rsidR="0065555D" w:rsidRPr="00A41CD4" w:rsidRDefault="0065555D" w:rsidP="0094653F">
            <w:pPr>
              <w:spacing w:after="0" w:line="240" w:lineRule="auto"/>
              <w:jc w:val="left"/>
              <w:rPr>
                <w:rFonts w:eastAsia="Times New Roman" w:cs="Times New Roman"/>
                <w:sz w:val="18"/>
                <w:szCs w:val="18"/>
              </w:rPr>
            </w:pPr>
            <w:r w:rsidRPr="00A41CD4">
              <w:rPr>
                <w:rFonts w:eastAsia="Times New Roman" w:cs="Times New Roman"/>
                <w:sz w:val="18"/>
                <w:szCs w:val="18"/>
              </w:rPr>
              <w:t>HHI</w:t>
            </w:r>
          </w:p>
        </w:tc>
        <w:tc>
          <w:tcPr>
            <w:tcW w:w="0" w:type="auto"/>
            <w:tcBorders>
              <w:top w:val="nil"/>
              <w:left w:val="nil"/>
              <w:bottom w:val="nil"/>
              <w:right w:val="nil"/>
            </w:tcBorders>
            <w:shd w:val="clear" w:color="auto" w:fill="auto"/>
            <w:noWrap/>
            <w:vAlign w:val="center"/>
          </w:tcPr>
          <w:p w14:paraId="7F632050"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-0.0137</w:t>
            </w:r>
          </w:p>
        </w:tc>
        <w:tc>
          <w:tcPr>
            <w:tcW w:w="0" w:type="auto"/>
            <w:tcBorders>
              <w:top w:val="nil"/>
              <w:left w:val="nil"/>
              <w:bottom w:val="nil"/>
              <w:right w:val="nil"/>
            </w:tcBorders>
            <w:shd w:val="clear" w:color="auto" w:fill="auto"/>
            <w:noWrap/>
            <w:vAlign w:val="center"/>
          </w:tcPr>
          <w:p w14:paraId="18DBAC1A"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0.9864</w:t>
            </w:r>
          </w:p>
        </w:tc>
        <w:tc>
          <w:tcPr>
            <w:tcW w:w="0" w:type="auto"/>
            <w:tcBorders>
              <w:top w:val="nil"/>
              <w:left w:val="nil"/>
              <w:bottom w:val="nil"/>
              <w:right w:val="nil"/>
            </w:tcBorders>
            <w:shd w:val="clear" w:color="auto" w:fill="auto"/>
            <w:noWrap/>
            <w:vAlign w:val="center"/>
          </w:tcPr>
          <w:p w14:paraId="3E6631D8"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(-7.4757)</w:t>
            </w:r>
          </w:p>
        </w:tc>
        <w:tc>
          <w:tcPr>
            <w:tcW w:w="0" w:type="auto"/>
            <w:tcBorders>
              <w:top w:val="nil"/>
              <w:left w:val="nil"/>
              <w:bottom w:val="nil"/>
              <w:right w:val="nil"/>
            </w:tcBorders>
            <w:shd w:val="clear" w:color="auto" w:fill="auto"/>
            <w:noWrap/>
            <w:vAlign w:val="center"/>
          </w:tcPr>
          <w:p w14:paraId="7193017C"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2FACDFF8"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1618F28E"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561DF3AC"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5619EF44"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3BFCDF1E" w14:textId="77777777" w:rsidR="0065555D" w:rsidRPr="00A41CD4" w:rsidRDefault="0065555D" w:rsidP="0094653F">
            <w:pPr>
              <w:spacing w:line="240" w:lineRule="auto"/>
              <w:jc w:val="center"/>
              <w:rPr>
                <w:rFonts w:cs="Times New Roman"/>
                <w:sz w:val="18"/>
                <w:szCs w:val="18"/>
              </w:rPr>
            </w:pPr>
          </w:p>
        </w:tc>
      </w:tr>
      <w:tr w:rsidR="0065555D" w:rsidRPr="00A41CD4" w14:paraId="20154A1D" w14:textId="77777777" w:rsidTr="0094653F">
        <w:trPr>
          <w:trHeight w:val="264"/>
          <w:jc w:val="center"/>
        </w:trPr>
        <w:tc>
          <w:tcPr>
            <w:tcW w:w="0" w:type="auto"/>
            <w:tcBorders>
              <w:top w:val="nil"/>
              <w:left w:val="nil"/>
              <w:bottom w:val="nil"/>
              <w:right w:val="nil"/>
            </w:tcBorders>
            <w:shd w:val="clear" w:color="auto" w:fill="auto"/>
            <w:noWrap/>
            <w:vAlign w:val="center"/>
            <w:hideMark/>
          </w:tcPr>
          <w:p w14:paraId="2C69CDB7" w14:textId="77777777" w:rsidR="0065555D" w:rsidRPr="00A41CD4" w:rsidRDefault="0065555D" w:rsidP="0094653F">
            <w:pPr>
              <w:spacing w:after="0" w:line="240" w:lineRule="auto"/>
              <w:jc w:val="left"/>
              <w:rPr>
                <w:rFonts w:eastAsia="Times New Roman" w:cs="Times New Roman"/>
                <w:sz w:val="18"/>
                <w:szCs w:val="18"/>
              </w:rPr>
            </w:pPr>
            <w:r w:rsidRPr="00A41CD4">
              <w:rPr>
                <w:rFonts w:eastAsia="Times New Roman" w:cs="Times New Roman"/>
                <w:sz w:val="18"/>
                <w:szCs w:val="18"/>
              </w:rPr>
              <w:t>D(HHI quantile=1)</w:t>
            </w:r>
          </w:p>
        </w:tc>
        <w:tc>
          <w:tcPr>
            <w:tcW w:w="0" w:type="auto"/>
            <w:tcBorders>
              <w:top w:val="nil"/>
              <w:left w:val="nil"/>
              <w:bottom w:val="nil"/>
              <w:right w:val="nil"/>
            </w:tcBorders>
            <w:shd w:val="clear" w:color="auto" w:fill="auto"/>
            <w:noWrap/>
            <w:vAlign w:val="center"/>
          </w:tcPr>
          <w:p w14:paraId="7205BBB8"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60FF84AB"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459173A8"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780EBE35"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68A3F0B6"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745660E3"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30CFDE73"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3195B087"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56A20136" w14:textId="77777777" w:rsidR="0065555D" w:rsidRPr="00A41CD4" w:rsidRDefault="0065555D" w:rsidP="0094653F">
            <w:pPr>
              <w:spacing w:line="240" w:lineRule="auto"/>
              <w:jc w:val="center"/>
              <w:rPr>
                <w:rFonts w:cs="Times New Roman"/>
                <w:sz w:val="18"/>
                <w:szCs w:val="18"/>
              </w:rPr>
            </w:pPr>
          </w:p>
        </w:tc>
      </w:tr>
      <w:tr w:rsidR="0065555D" w:rsidRPr="00A41CD4" w14:paraId="6EA0BEEF" w14:textId="77777777" w:rsidTr="0094653F">
        <w:trPr>
          <w:trHeight w:val="264"/>
          <w:jc w:val="center"/>
        </w:trPr>
        <w:tc>
          <w:tcPr>
            <w:tcW w:w="0" w:type="auto"/>
            <w:tcBorders>
              <w:top w:val="nil"/>
              <w:left w:val="nil"/>
              <w:bottom w:val="nil"/>
              <w:right w:val="nil"/>
            </w:tcBorders>
            <w:shd w:val="clear" w:color="auto" w:fill="auto"/>
            <w:noWrap/>
            <w:vAlign w:val="center"/>
            <w:hideMark/>
          </w:tcPr>
          <w:p w14:paraId="6BC8F7AD" w14:textId="77777777" w:rsidR="0065555D" w:rsidRPr="00A41CD4" w:rsidRDefault="0065555D" w:rsidP="0094653F">
            <w:pPr>
              <w:spacing w:after="0" w:line="240" w:lineRule="auto"/>
              <w:jc w:val="left"/>
              <w:rPr>
                <w:rFonts w:eastAsia="Times New Roman" w:cs="Times New Roman"/>
                <w:sz w:val="18"/>
                <w:szCs w:val="18"/>
              </w:rPr>
            </w:pPr>
            <w:r w:rsidRPr="00A41CD4">
              <w:rPr>
                <w:rFonts w:eastAsia="Times New Roman" w:cs="Times New Roman"/>
                <w:sz w:val="18"/>
                <w:szCs w:val="18"/>
              </w:rPr>
              <w:t>D(HHI quantile=1)</w:t>
            </w:r>
            <w:r w:rsidRPr="00A41CD4">
              <w:rPr>
                <w:rFonts w:eastAsia="Times New Roman" w:cs="Times New Roman"/>
                <w:color w:val="000000"/>
                <w:sz w:val="18"/>
                <w:szCs w:val="18"/>
              </w:rPr>
              <w:t xml:space="preserve"> × D(L1 Rollover)</w:t>
            </w:r>
          </w:p>
        </w:tc>
        <w:tc>
          <w:tcPr>
            <w:tcW w:w="0" w:type="auto"/>
            <w:tcBorders>
              <w:top w:val="nil"/>
              <w:left w:val="nil"/>
              <w:bottom w:val="nil"/>
              <w:right w:val="nil"/>
            </w:tcBorders>
            <w:shd w:val="clear" w:color="auto" w:fill="auto"/>
            <w:noWrap/>
            <w:vAlign w:val="center"/>
          </w:tcPr>
          <w:p w14:paraId="17D28A15"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03080034"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64FC83AF"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4654C4A4"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1.3919</w:t>
            </w:r>
          </w:p>
        </w:tc>
        <w:tc>
          <w:tcPr>
            <w:tcW w:w="0" w:type="auto"/>
            <w:tcBorders>
              <w:top w:val="nil"/>
              <w:left w:val="nil"/>
              <w:bottom w:val="nil"/>
              <w:right w:val="nil"/>
            </w:tcBorders>
            <w:shd w:val="clear" w:color="auto" w:fill="auto"/>
            <w:noWrap/>
            <w:vAlign w:val="center"/>
          </w:tcPr>
          <w:p w14:paraId="3D089FEB"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4.0223</w:t>
            </w:r>
          </w:p>
        </w:tc>
        <w:tc>
          <w:tcPr>
            <w:tcW w:w="0" w:type="auto"/>
            <w:tcBorders>
              <w:top w:val="nil"/>
              <w:left w:val="nil"/>
              <w:bottom w:val="nil"/>
              <w:right w:val="nil"/>
            </w:tcBorders>
            <w:shd w:val="clear" w:color="auto" w:fill="auto"/>
            <w:noWrap/>
            <w:vAlign w:val="center"/>
          </w:tcPr>
          <w:p w14:paraId="0EEBDA22"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(6.8411)</w:t>
            </w:r>
          </w:p>
        </w:tc>
        <w:tc>
          <w:tcPr>
            <w:tcW w:w="0" w:type="auto"/>
            <w:tcBorders>
              <w:top w:val="nil"/>
              <w:left w:val="nil"/>
              <w:bottom w:val="nil"/>
              <w:right w:val="nil"/>
            </w:tcBorders>
            <w:shd w:val="clear" w:color="auto" w:fill="auto"/>
            <w:noWrap/>
            <w:vAlign w:val="center"/>
          </w:tcPr>
          <w:p w14:paraId="091C0313"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1.1161</w:t>
            </w:r>
          </w:p>
        </w:tc>
        <w:tc>
          <w:tcPr>
            <w:tcW w:w="0" w:type="auto"/>
            <w:tcBorders>
              <w:top w:val="nil"/>
              <w:left w:val="nil"/>
              <w:bottom w:val="nil"/>
              <w:right w:val="nil"/>
            </w:tcBorders>
            <w:shd w:val="clear" w:color="auto" w:fill="auto"/>
            <w:noWrap/>
            <w:vAlign w:val="center"/>
          </w:tcPr>
          <w:p w14:paraId="12AEB6A3"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3.0530</w:t>
            </w:r>
          </w:p>
        </w:tc>
        <w:tc>
          <w:tcPr>
            <w:tcW w:w="0" w:type="auto"/>
            <w:tcBorders>
              <w:top w:val="nil"/>
              <w:left w:val="nil"/>
              <w:bottom w:val="nil"/>
              <w:right w:val="nil"/>
            </w:tcBorders>
            <w:shd w:val="clear" w:color="auto" w:fill="auto"/>
            <w:noWrap/>
            <w:vAlign w:val="center"/>
          </w:tcPr>
          <w:p w14:paraId="53A150AC"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(4.1932)</w:t>
            </w:r>
          </w:p>
        </w:tc>
      </w:tr>
      <w:tr w:rsidR="0065555D" w:rsidRPr="00A41CD4" w14:paraId="7A867D44" w14:textId="77777777" w:rsidTr="0094653F">
        <w:trPr>
          <w:trHeight w:val="264"/>
          <w:jc w:val="center"/>
        </w:trPr>
        <w:tc>
          <w:tcPr>
            <w:tcW w:w="0" w:type="auto"/>
            <w:tcBorders>
              <w:top w:val="nil"/>
              <w:left w:val="nil"/>
              <w:bottom w:val="nil"/>
              <w:right w:val="nil"/>
            </w:tcBorders>
            <w:shd w:val="clear" w:color="auto" w:fill="auto"/>
            <w:noWrap/>
            <w:vAlign w:val="center"/>
            <w:hideMark/>
          </w:tcPr>
          <w:p w14:paraId="27C9B89C" w14:textId="77777777" w:rsidR="0065555D" w:rsidRPr="00A41CD4" w:rsidRDefault="0065555D" w:rsidP="0094653F">
            <w:pPr>
              <w:spacing w:after="0" w:line="240" w:lineRule="auto"/>
              <w:jc w:val="left"/>
              <w:rPr>
                <w:rFonts w:eastAsia="Times New Roman" w:cs="Times New Roman"/>
                <w:sz w:val="18"/>
                <w:szCs w:val="18"/>
              </w:rPr>
            </w:pPr>
            <w:r w:rsidRPr="00A41CD4">
              <w:rPr>
                <w:rFonts w:eastAsia="Times New Roman" w:cs="Times New Roman"/>
                <w:sz w:val="18"/>
                <w:szCs w:val="18"/>
              </w:rPr>
              <w:t>D(HHI quantile=2)</w:t>
            </w:r>
          </w:p>
        </w:tc>
        <w:tc>
          <w:tcPr>
            <w:tcW w:w="0" w:type="auto"/>
            <w:tcBorders>
              <w:top w:val="nil"/>
              <w:left w:val="nil"/>
              <w:bottom w:val="nil"/>
              <w:right w:val="nil"/>
            </w:tcBorders>
            <w:shd w:val="clear" w:color="auto" w:fill="auto"/>
            <w:noWrap/>
            <w:vAlign w:val="center"/>
          </w:tcPr>
          <w:p w14:paraId="00BBEDCD"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449E7CA2"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0F201E4F"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5E377844"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110DB20E"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55748566"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722E6A60"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0.4955</w:t>
            </w:r>
          </w:p>
        </w:tc>
        <w:tc>
          <w:tcPr>
            <w:tcW w:w="0" w:type="auto"/>
            <w:tcBorders>
              <w:top w:val="nil"/>
              <w:left w:val="nil"/>
              <w:bottom w:val="nil"/>
              <w:right w:val="nil"/>
            </w:tcBorders>
            <w:shd w:val="clear" w:color="auto" w:fill="auto"/>
            <w:noWrap/>
            <w:vAlign w:val="center"/>
          </w:tcPr>
          <w:p w14:paraId="79B3DA49"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1.6413</w:t>
            </w:r>
          </w:p>
        </w:tc>
        <w:tc>
          <w:tcPr>
            <w:tcW w:w="0" w:type="auto"/>
            <w:tcBorders>
              <w:top w:val="nil"/>
              <w:left w:val="nil"/>
              <w:bottom w:val="nil"/>
              <w:right w:val="nil"/>
            </w:tcBorders>
            <w:shd w:val="clear" w:color="auto" w:fill="auto"/>
            <w:noWrap/>
            <w:vAlign w:val="center"/>
          </w:tcPr>
          <w:p w14:paraId="03CA14A4"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(2.7767)</w:t>
            </w:r>
          </w:p>
        </w:tc>
      </w:tr>
      <w:tr w:rsidR="0065555D" w:rsidRPr="00A41CD4" w14:paraId="1B5F9D19" w14:textId="77777777" w:rsidTr="0094653F">
        <w:trPr>
          <w:trHeight w:val="264"/>
          <w:jc w:val="center"/>
        </w:trPr>
        <w:tc>
          <w:tcPr>
            <w:tcW w:w="0" w:type="auto"/>
            <w:tcBorders>
              <w:top w:val="nil"/>
              <w:left w:val="nil"/>
              <w:bottom w:val="nil"/>
              <w:right w:val="nil"/>
            </w:tcBorders>
            <w:shd w:val="clear" w:color="auto" w:fill="auto"/>
            <w:noWrap/>
            <w:vAlign w:val="center"/>
            <w:hideMark/>
          </w:tcPr>
          <w:p w14:paraId="1480818F" w14:textId="77777777" w:rsidR="0065555D" w:rsidRPr="00A41CD4" w:rsidRDefault="0065555D" w:rsidP="0094653F">
            <w:pPr>
              <w:spacing w:after="0" w:line="240" w:lineRule="auto"/>
              <w:jc w:val="left"/>
              <w:rPr>
                <w:rFonts w:eastAsia="Times New Roman" w:cs="Times New Roman"/>
                <w:sz w:val="18"/>
                <w:szCs w:val="18"/>
              </w:rPr>
            </w:pPr>
            <w:r w:rsidRPr="00A41CD4">
              <w:rPr>
                <w:rFonts w:eastAsia="Times New Roman" w:cs="Times New Roman"/>
                <w:sz w:val="18"/>
                <w:szCs w:val="18"/>
              </w:rPr>
              <w:t>D(HHI quantile=2)</w:t>
            </w:r>
            <w:r w:rsidRPr="00A41CD4">
              <w:rPr>
                <w:rFonts w:eastAsia="Times New Roman" w:cs="Times New Roman"/>
                <w:color w:val="000000"/>
                <w:sz w:val="18"/>
                <w:szCs w:val="18"/>
              </w:rPr>
              <w:t xml:space="preserve"> × D(L1 Rollover)</w:t>
            </w:r>
          </w:p>
        </w:tc>
        <w:tc>
          <w:tcPr>
            <w:tcW w:w="0" w:type="auto"/>
            <w:tcBorders>
              <w:top w:val="nil"/>
              <w:left w:val="nil"/>
              <w:bottom w:val="nil"/>
              <w:right w:val="nil"/>
            </w:tcBorders>
            <w:shd w:val="clear" w:color="auto" w:fill="auto"/>
            <w:noWrap/>
            <w:vAlign w:val="center"/>
          </w:tcPr>
          <w:p w14:paraId="20F6F523"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3D26FD4E"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1BD07F04"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28A58296"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1.2715</w:t>
            </w:r>
          </w:p>
        </w:tc>
        <w:tc>
          <w:tcPr>
            <w:tcW w:w="0" w:type="auto"/>
            <w:tcBorders>
              <w:top w:val="nil"/>
              <w:left w:val="nil"/>
              <w:bottom w:val="nil"/>
              <w:right w:val="nil"/>
            </w:tcBorders>
            <w:shd w:val="clear" w:color="auto" w:fill="auto"/>
            <w:noWrap/>
            <w:vAlign w:val="center"/>
          </w:tcPr>
          <w:p w14:paraId="708F8EEE"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3.5663</w:t>
            </w:r>
          </w:p>
        </w:tc>
        <w:tc>
          <w:tcPr>
            <w:tcW w:w="0" w:type="auto"/>
            <w:tcBorders>
              <w:top w:val="nil"/>
              <w:left w:val="nil"/>
              <w:bottom w:val="nil"/>
              <w:right w:val="nil"/>
            </w:tcBorders>
            <w:shd w:val="clear" w:color="auto" w:fill="auto"/>
            <w:noWrap/>
            <w:vAlign w:val="center"/>
          </w:tcPr>
          <w:p w14:paraId="4E6B2384"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(7.0145)</w:t>
            </w:r>
          </w:p>
        </w:tc>
        <w:tc>
          <w:tcPr>
            <w:tcW w:w="0" w:type="auto"/>
            <w:tcBorders>
              <w:top w:val="nil"/>
              <w:left w:val="nil"/>
              <w:bottom w:val="nil"/>
              <w:right w:val="nil"/>
            </w:tcBorders>
            <w:shd w:val="clear" w:color="auto" w:fill="auto"/>
            <w:noWrap/>
            <w:vAlign w:val="center"/>
          </w:tcPr>
          <w:p w14:paraId="7F3E5DE2"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0.9900</w:t>
            </w:r>
          </w:p>
        </w:tc>
        <w:tc>
          <w:tcPr>
            <w:tcW w:w="0" w:type="auto"/>
            <w:tcBorders>
              <w:top w:val="nil"/>
              <w:left w:val="nil"/>
              <w:bottom w:val="nil"/>
              <w:right w:val="nil"/>
            </w:tcBorders>
            <w:shd w:val="clear" w:color="auto" w:fill="auto"/>
            <w:noWrap/>
            <w:vAlign w:val="center"/>
          </w:tcPr>
          <w:p w14:paraId="16A4ACA0"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2.6914</w:t>
            </w:r>
          </w:p>
        </w:tc>
        <w:tc>
          <w:tcPr>
            <w:tcW w:w="0" w:type="auto"/>
            <w:tcBorders>
              <w:top w:val="nil"/>
              <w:left w:val="nil"/>
              <w:bottom w:val="nil"/>
              <w:right w:val="nil"/>
            </w:tcBorders>
            <w:shd w:val="clear" w:color="auto" w:fill="auto"/>
            <w:noWrap/>
            <w:vAlign w:val="center"/>
          </w:tcPr>
          <w:p w14:paraId="467F43FA"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(4.0568)</w:t>
            </w:r>
          </w:p>
        </w:tc>
      </w:tr>
      <w:tr w:rsidR="0065555D" w:rsidRPr="00A41CD4" w14:paraId="25C51A52" w14:textId="77777777" w:rsidTr="0094653F">
        <w:trPr>
          <w:trHeight w:val="264"/>
          <w:jc w:val="center"/>
        </w:trPr>
        <w:tc>
          <w:tcPr>
            <w:tcW w:w="0" w:type="auto"/>
            <w:tcBorders>
              <w:top w:val="nil"/>
              <w:left w:val="nil"/>
              <w:bottom w:val="nil"/>
              <w:right w:val="nil"/>
            </w:tcBorders>
            <w:shd w:val="clear" w:color="auto" w:fill="auto"/>
            <w:noWrap/>
            <w:vAlign w:val="center"/>
            <w:hideMark/>
          </w:tcPr>
          <w:p w14:paraId="3E1A824D" w14:textId="77777777" w:rsidR="0065555D" w:rsidRPr="00A41CD4" w:rsidRDefault="0065555D" w:rsidP="0094653F">
            <w:pPr>
              <w:spacing w:after="0" w:line="240" w:lineRule="auto"/>
              <w:jc w:val="left"/>
              <w:rPr>
                <w:rFonts w:eastAsia="Times New Roman" w:cs="Times New Roman"/>
                <w:sz w:val="18"/>
                <w:szCs w:val="18"/>
              </w:rPr>
            </w:pPr>
            <w:r w:rsidRPr="00A41CD4">
              <w:rPr>
                <w:rFonts w:eastAsia="Times New Roman" w:cs="Times New Roman"/>
                <w:sz w:val="18"/>
                <w:szCs w:val="18"/>
              </w:rPr>
              <w:t>D(HHI quantile=3)</w:t>
            </w:r>
          </w:p>
        </w:tc>
        <w:tc>
          <w:tcPr>
            <w:tcW w:w="0" w:type="auto"/>
            <w:tcBorders>
              <w:top w:val="nil"/>
              <w:left w:val="nil"/>
              <w:bottom w:val="nil"/>
              <w:right w:val="nil"/>
            </w:tcBorders>
            <w:shd w:val="clear" w:color="auto" w:fill="auto"/>
            <w:noWrap/>
            <w:vAlign w:val="center"/>
          </w:tcPr>
          <w:p w14:paraId="1A05A2FC"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654A5D4F"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70EA8FA4"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71956EA7"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0CC2E20D"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2B66B70F"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1E8985FB"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0.5372</w:t>
            </w:r>
          </w:p>
        </w:tc>
        <w:tc>
          <w:tcPr>
            <w:tcW w:w="0" w:type="auto"/>
            <w:tcBorders>
              <w:top w:val="nil"/>
              <w:left w:val="nil"/>
              <w:bottom w:val="nil"/>
              <w:right w:val="nil"/>
            </w:tcBorders>
            <w:shd w:val="clear" w:color="auto" w:fill="auto"/>
            <w:noWrap/>
            <w:vAlign w:val="center"/>
          </w:tcPr>
          <w:p w14:paraId="1CE5A542"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1.7112</w:t>
            </w:r>
          </w:p>
        </w:tc>
        <w:tc>
          <w:tcPr>
            <w:tcW w:w="0" w:type="auto"/>
            <w:tcBorders>
              <w:top w:val="nil"/>
              <w:left w:val="nil"/>
              <w:bottom w:val="nil"/>
              <w:right w:val="nil"/>
            </w:tcBorders>
            <w:shd w:val="clear" w:color="auto" w:fill="auto"/>
            <w:noWrap/>
            <w:vAlign w:val="center"/>
          </w:tcPr>
          <w:p w14:paraId="31019BDC"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(4.1472)</w:t>
            </w:r>
          </w:p>
        </w:tc>
      </w:tr>
      <w:tr w:rsidR="0065555D" w:rsidRPr="00A41CD4" w14:paraId="0B820741" w14:textId="77777777" w:rsidTr="0094653F">
        <w:trPr>
          <w:trHeight w:val="264"/>
          <w:jc w:val="center"/>
        </w:trPr>
        <w:tc>
          <w:tcPr>
            <w:tcW w:w="0" w:type="auto"/>
            <w:tcBorders>
              <w:top w:val="nil"/>
              <w:left w:val="nil"/>
              <w:bottom w:val="nil"/>
              <w:right w:val="nil"/>
            </w:tcBorders>
            <w:shd w:val="clear" w:color="auto" w:fill="auto"/>
            <w:noWrap/>
            <w:vAlign w:val="center"/>
            <w:hideMark/>
          </w:tcPr>
          <w:p w14:paraId="158F75A3" w14:textId="77777777" w:rsidR="0065555D" w:rsidRPr="00A41CD4" w:rsidRDefault="0065555D" w:rsidP="0094653F">
            <w:pPr>
              <w:spacing w:after="0" w:line="240" w:lineRule="auto"/>
              <w:jc w:val="left"/>
              <w:rPr>
                <w:rFonts w:eastAsia="Times New Roman" w:cs="Times New Roman"/>
                <w:sz w:val="18"/>
                <w:szCs w:val="18"/>
              </w:rPr>
            </w:pPr>
            <w:r w:rsidRPr="00A41CD4">
              <w:rPr>
                <w:rFonts w:eastAsia="Times New Roman" w:cs="Times New Roman"/>
                <w:sz w:val="18"/>
                <w:szCs w:val="18"/>
              </w:rPr>
              <w:t>D(HHI quantile=3)</w:t>
            </w:r>
            <w:r w:rsidRPr="00A41CD4">
              <w:rPr>
                <w:rFonts w:eastAsia="Times New Roman" w:cs="Times New Roman"/>
                <w:color w:val="000000"/>
                <w:sz w:val="18"/>
                <w:szCs w:val="18"/>
              </w:rPr>
              <w:t xml:space="preserve"> × D(L1 Rollover)</w:t>
            </w:r>
          </w:p>
        </w:tc>
        <w:tc>
          <w:tcPr>
            <w:tcW w:w="0" w:type="auto"/>
            <w:tcBorders>
              <w:top w:val="nil"/>
              <w:left w:val="nil"/>
              <w:bottom w:val="nil"/>
              <w:right w:val="nil"/>
            </w:tcBorders>
            <w:shd w:val="clear" w:color="auto" w:fill="auto"/>
            <w:noWrap/>
            <w:vAlign w:val="center"/>
          </w:tcPr>
          <w:p w14:paraId="3BA0AA62"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1DB545F9"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4E4A292A"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0E1A0395"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1.2277</w:t>
            </w:r>
          </w:p>
        </w:tc>
        <w:tc>
          <w:tcPr>
            <w:tcW w:w="0" w:type="auto"/>
            <w:tcBorders>
              <w:top w:val="nil"/>
              <w:left w:val="nil"/>
              <w:bottom w:val="nil"/>
              <w:right w:val="nil"/>
            </w:tcBorders>
            <w:shd w:val="clear" w:color="auto" w:fill="auto"/>
            <w:noWrap/>
            <w:vAlign w:val="center"/>
          </w:tcPr>
          <w:p w14:paraId="17081E02"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3.4134</w:t>
            </w:r>
          </w:p>
        </w:tc>
        <w:tc>
          <w:tcPr>
            <w:tcW w:w="0" w:type="auto"/>
            <w:tcBorders>
              <w:top w:val="nil"/>
              <w:left w:val="nil"/>
              <w:bottom w:val="nil"/>
              <w:right w:val="nil"/>
            </w:tcBorders>
            <w:shd w:val="clear" w:color="auto" w:fill="auto"/>
            <w:noWrap/>
            <w:vAlign w:val="center"/>
          </w:tcPr>
          <w:p w14:paraId="2D73F304"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(7.0578)</w:t>
            </w:r>
          </w:p>
        </w:tc>
        <w:tc>
          <w:tcPr>
            <w:tcW w:w="0" w:type="auto"/>
            <w:tcBorders>
              <w:top w:val="nil"/>
              <w:left w:val="nil"/>
              <w:bottom w:val="nil"/>
              <w:right w:val="nil"/>
            </w:tcBorders>
            <w:shd w:val="clear" w:color="auto" w:fill="auto"/>
            <w:noWrap/>
            <w:vAlign w:val="center"/>
          </w:tcPr>
          <w:p w14:paraId="543EB472"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1.2323</w:t>
            </w:r>
          </w:p>
        </w:tc>
        <w:tc>
          <w:tcPr>
            <w:tcW w:w="0" w:type="auto"/>
            <w:tcBorders>
              <w:top w:val="nil"/>
              <w:left w:val="nil"/>
              <w:bottom w:val="nil"/>
              <w:right w:val="nil"/>
            </w:tcBorders>
            <w:shd w:val="clear" w:color="auto" w:fill="auto"/>
            <w:noWrap/>
            <w:vAlign w:val="center"/>
          </w:tcPr>
          <w:p w14:paraId="049D6B02"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3.4292</w:t>
            </w:r>
          </w:p>
        </w:tc>
        <w:tc>
          <w:tcPr>
            <w:tcW w:w="0" w:type="auto"/>
            <w:tcBorders>
              <w:top w:val="nil"/>
              <w:left w:val="nil"/>
              <w:bottom w:val="nil"/>
              <w:right w:val="nil"/>
            </w:tcBorders>
            <w:shd w:val="clear" w:color="auto" w:fill="auto"/>
            <w:noWrap/>
            <w:vAlign w:val="center"/>
          </w:tcPr>
          <w:p w14:paraId="261EED4A"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(4.4995)</w:t>
            </w:r>
          </w:p>
        </w:tc>
      </w:tr>
      <w:tr w:rsidR="0065555D" w:rsidRPr="00A41CD4" w14:paraId="2F75AA9F" w14:textId="77777777" w:rsidTr="0094653F">
        <w:trPr>
          <w:trHeight w:val="264"/>
          <w:jc w:val="center"/>
        </w:trPr>
        <w:tc>
          <w:tcPr>
            <w:tcW w:w="0" w:type="auto"/>
            <w:tcBorders>
              <w:top w:val="nil"/>
              <w:left w:val="nil"/>
              <w:bottom w:val="nil"/>
              <w:right w:val="nil"/>
            </w:tcBorders>
            <w:shd w:val="clear" w:color="auto" w:fill="auto"/>
            <w:noWrap/>
            <w:vAlign w:val="center"/>
            <w:hideMark/>
          </w:tcPr>
          <w:p w14:paraId="165CF426" w14:textId="77777777" w:rsidR="0065555D" w:rsidRPr="00A41CD4" w:rsidRDefault="0065555D" w:rsidP="0094653F">
            <w:pPr>
              <w:spacing w:after="0" w:line="240" w:lineRule="auto"/>
              <w:jc w:val="left"/>
              <w:rPr>
                <w:rFonts w:eastAsia="Times New Roman" w:cs="Times New Roman"/>
                <w:sz w:val="18"/>
                <w:szCs w:val="18"/>
              </w:rPr>
            </w:pPr>
            <w:r w:rsidRPr="00A41CD4">
              <w:rPr>
                <w:rFonts w:eastAsia="Times New Roman" w:cs="Times New Roman"/>
                <w:sz w:val="18"/>
                <w:szCs w:val="18"/>
              </w:rPr>
              <w:t>D(HHI quantile=4)</w:t>
            </w:r>
          </w:p>
        </w:tc>
        <w:tc>
          <w:tcPr>
            <w:tcW w:w="0" w:type="auto"/>
            <w:tcBorders>
              <w:top w:val="nil"/>
              <w:left w:val="nil"/>
              <w:bottom w:val="nil"/>
              <w:right w:val="nil"/>
            </w:tcBorders>
            <w:shd w:val="clear" w:color="auto" w:fill="auto"/>
            <w:noWrap/>
            <w:vAlign w:val="center"/>
          </w:tcPr>
          <w:p w14:paraId="070F1DBD"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69F49D85"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684BEA8E"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4372315D"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0EDC8638"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3D15C61F"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075E5A73"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0.2274</w:t>
            </w:r>
          </w:p>
        </w:tc>
        <w:tc>
          <w:tcPr>
            <w:tcW w:w="0" w:type="auto"/>
            <w:tcBorders>
              <w:top w:val="nil"/>
              <w:left w:val="nil"/>
              <w:bottom w:val="nil"/>
              <w:right w:val="nil"/>
            </w:tcBorders>
            <w:shd w:val="clear" w:color="auto" w:fill="auto"/>
            <w:noWrap/>
            <w:vAlign w:val="center"/>
          </w:tcPr>
          <w:p w14:paraId="49C09052"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1.2553</w:t>
            </w:r>
          </w:p>
        </w:tc>
        <w:tc>
          <w:tcPr>
            <w:tcW w:w="0" w:type="auto"/>
            <w:tcBorders>
              <w:top w:val="nil"/>
              <w:left w:val="nil"/>
              <w:bottom w:val="nil"/>
              <w:right w:val="nil"/>
            </w:tcBorders>
            <w:shd w:val="clear" w:color="auto" w:fill="auto"/>
            <w:noWrap/>
            <w:vAlign w:val="center"/>
          </w:tcPr>
          <w:p w14:paraId="7B6D6982"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(1.5348)</w:t>
            </w:r>
          </w:p>
        </w:tc>
      </w:tr>
      <w:tr w:rsidR="0065555D" w:rsidRPr="00A41CD4" w14:paraId="19C0D968" w14:textId="77777777" w:rsidTr="0094653F">
        <w:trPr>
          <w:trHeight w:val="264"/>
          <w:jc w:val="center"/>
        </w:trPr>
        <w:tc>
          <w:tcPr>
            <w:tcW w:w="0" w:type="auto"/>
            <w:tcBorders>
              <w:top w:val="nil"/>
              <w:left w:val="nil"/>
              <w:bottom w:val="nil"/>
              <w:right w:val="nil"/>
            </w:tcBorders>
            <w:shd w:val="clear" w:color="auto" w:fill="auto"/>
            <w:noWrap/>
            <w:vAlign w:val="center"/>
            <w:hideMark/>
          </w:tcPr>
          <w:p w14:paraId="501F5C1E" w14:textId="77777777" w:rsidR="0065555D" w:rsidRPr="00A41CD4" w:rsidRDefault="0065555D" w:rsidP="0094653F">
            <w:pPr>
              <w:spacing w:after="0" w:line="240" w:lineRule="auto"/>
              <w:jc w:val="left"/>
              <w:rPr>
                <w:rFonts w:eastAsia="Times New Roman" w:cs="Times New Roman"/>
                <w:sz w:val="18"/>
                <w:szCs w:val="18"/>
              </w:rPr>
            </w:pPr>
            <w:r w:rsidRPr="00A41CD4">
              <w:rPr>
                <w:rFonts w:eastAsia="Times New Roman" w:cs="Times New Roman"/>
                <w:sz w:val="18"/>
                <w:szCs w:val="18"/>
              </w:rPr>
              <w:t>D(HHI quantile=4)</w:t>
            </w:r>
            <w:r w:rsidRPr="00A41CD4">
              <w:rPr>
                <w:rFonts w:eastAsia="Times New Roman" w:cs="Times New Roman"/>
                <w:color w:val="000000"/>
                <w:sz w:val="18"/>
                <w:szCs w:val="18"/>
              </w:rPr>
              <w:t xml:space="preserve"> × D(L1 Rollover)</w:t>
            </w:r>
          </w:p>
        </w:tc>
        <w:tc>
          <w:tcPr>
            <w:tcW w:w="0" w:type="auto"/>
            <w:tcBorders>
              <w:top w:val="nil"/>
              <w:left w:val="nil"/>
              <w:bottom w:val="nil"/>
              <w:right w:val="nil"/>
            </w:tcBorders>
            <w:shd w:val="clear" w:color="auto" w:fill="auto"/>
            <w:noWrap/>
            <w:vAlign w:val="center"/>
          </w:tcPr>
          <w:p w14:paraId="5E1DDA3E"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3A4A5337"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506744E3"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24CAA57D"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0.9588</w:t>
            </w:r>
          </w:p>
        </w:tc>
        <w:tc>
          <w:tcPr>
            <w:tcW w:w="0" w:type="auto"/>
            <w:tcBorders>
              <w:top w:val="nil"/>
              <w:left w:val="nil"/>
              <w:bottom w:val="nil"/>
              <w:right w:val="nil"/>
            </w:tcBorders>
            <w:shd w:val="clear" w:color="auto" w:fill="auto"/>
            <w:noWrap/>
            <w:vAlign w:val="center"/>
          </w:tcPr>
          <w:p w14:paraId="0D3B6AE7"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2.6085</w:t>
            </w:r>
          </w:p>
        </w:tc>
        <w:tc>
          <w:tcPr>
            <w:tcW w:w="0" w:type="auto"/>
            <w:tcBorders>
              <w:top w:val="nil"/>
              <w:left w:val="nil"/>
              <w:bottom w:val="nil"/>
              <w:right w:val="nil"/>
            </w:tcBorders>
            <w:shd w:val="clear" w:color="auto" w:fill="auto"/>
            <w:noWrap/>
            <w:vAlign w:val="center"/>
          </w:tcPr>
          <w:p w14:paraId="3B80E620"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(6.4507)</w:t>
            </w:r>
          </w:p>
        </w:tc>
        <w:tc>
          <w:tcPr>
            <w:tcW w:w="0" w:type="auto"/>
            <w:tcBorders>
              <w:top w:val="nil"/>
              <w:left w:val="nil"/>
              <w:bottom w:val="nil"/>
              <w:right w:val="nil"/>
            </w:tcBorders>
            <w:shd w:val="clear" w:color="auto" w:fill="auto"/>
            <w:noWrap/>
            <w:vAlign w:val="center"/>
          </w:tcPr>
          <w:p w14:paraId="5B093B08"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0.8259</w:t>
            </w:r>
          </w:p>
        </w:tc>
        <w:tc>
          <w:tcPr>
            <w:tcW w:w="0" w:type="auto"/>
            <w:tcBorders>
              <w:top w:val="nil"/>
              <w:left w:val="nil"/>
              <w:bottom w:val="nil"/>
              <w:right w:val="nil"/>
            </w:tcBorders>
            <w:shd w:val="clear" w:color="auto" w:fill="auto"/>
            <w:noWrap/>
            <w:vAlign w:val="center"/>
          </w:tcPr>
          <w:p w14:paraId="0C2A80D8"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2.2839</w:t>
            </w:r>
          </w:p>
        </w:tc>
        <w:tc>
          <w:tcPr>
            <w:tcW w:w="0" w:type="auto"/>
            <w:tcBorders>
              <w:top w:val="nil"/>
              <w:left w:val="nil"/>
              <w:bottom w:val="nil"/>
              <w:right w:val="nil"/>
            </w:tcBorders>
            <w:shd w:val="clear" w:color="auto" w:fill="auto"/>
            <w:noWrap/>
            <w:vAlign w:val="center"/>
          </w:tcPr>
          <w:p w14:paraId="559D9743"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(3.3496)</w:t>
            </w:r>
          </w:p>
        </w:tc>
      </w:tr>
      <w:tr w:rsidR="0065555D" w:rsidRPr="00A41CD4" w14:paraId="337CAC0B" w14:textId="77777777" w:rsidTr="0094653F">
        <w:trPr>
          <w:trHeight w:val="264"/>
          <w:jc w:val="center"/>
        </w:trPr>
        <w:tc>
          <w:tcPr>
            <w:tcW w:w="0" w:type="auto"/>
            <w:tcBorders>
              <w:top w:val="nil"/>
              <w:left w:val="nil"/>
              <w:bottom w:val="nil"/>
              <w:right w:val="nil"/>
            </w:tcBorders>
            <w:shd w:val="clear" w:color="auto" w:fill="auto"/>
            <w:noWrap/>
            <w:vAlign w:val="center"/>
            <w:hideMark/>
          </w:tcPr>
          <w:p w14:paraId="16612C1F" w14:textId="77777777" w:rsidR="0065555D" w:rsidRPr="00A41CD4" w:rsidRDefault="0065555D" w:rsidP="0094653F">
            <w:pPr>
              <w:spacing w:after="0" w:line="240" w:lineRule="auto"/>
              <w:jc w:val="left"/>
              <w:rPr>
                <w:rFonts w:eastAsia="Times New Roman" w:cs="Times New Roman"/>
                <w:sz w:val="18"/>
                <w:szCs w:val="18"/>
              </w:rPr>
            </w:pPr>
            <w:r w:rsidRPr="00A41CD4">
              <w:rPr>
                <w:rFonts w:eastAsia="Times New Roman" w:cs="Times New Roman"/>
                <w:sz w:val="18"/>
                <w:szCs w:val="18"/>
              </w:rPr>
              <w:t>D(HHI quantile=5)</w:t>
            </w:r>
          </w:p>
        </w:tc>
        <w:tc>
          <w:tcPr>
            <w:tcW w:w="0" w:type="auto"/>
            <w:tcBorders>
              <w:top w:val="nil"/>
              <w:left w:val="nil"/>
              <w:bottom w:val="nil"/>
              <w:right w:val="nil"/>
            </w:tcBorders>
            <w:shd w:val="clear" w:color="auto" w:fill="auto"/>
            <w:noWrap/>
            <w:vAlign w:val="center"/>
          </w:tcPr>
          <w:p w14:paraId="28E663BA"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298C8E78"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10425867"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5C4633D8"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0C3FC9CD"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062D7945"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1991FD99"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0.4659</w:t>
            </w:r>
          </w:p>
        </w:tc>
        <w:tc>
          <w:tcPr>
            <w:tcW w:w="0" w:type="auto"/>
            <w:tcBorders>
              <w:top w:val="nil"/>
              <w:left w:val="nil"/>
              <w:bottom w:val="nil"/>
              <w:right w:val="nil"/>
            </w:tcBorders>
            <w:shd w:val="clear" w:color="auto" w:fill="auto"/>
            <w:noWrap/>
            <w:vAlign w:val="center"/>
          </w:tcPr>
          <w:p w14:paraId="10BA8C89"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1.5934</w:t>
            </w:r>
          </w:p>
        </w:tc>
        <w:tc>
          <w:tcPr>
            <w:tcW w:w="0" w:type="auto"/>
            <w:tcBorders>
              <w:top w:val="nil"/>
              <w:left w:val="nil"/>
              <w:bottom w:val="nil"/>
              <w:right w:val="nil"/>
            </w:tcBorders>
            <w:shd w:val="clear" w:color="auto" w:fill="auto"/>
            <w:noWrap/>
            <w:vAlign w:val="center"/>
          </w:tcPr>
          <w:p w14:paraId="5FAE0EDA"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(2.9650)</w:t>
            </w:r>
          </w:p>
        </w:tc>
      </w:tr>
      <w:tr w:rsidR="0065555D" w:rsidRPr="00A41CD4" w14:paraId="210831AC" w14:textId="77777777" w:rsidTr="0094653F">
        <w:trPr>
          <w:trHeight w:val="264"/>
          <w:jc w:val="center"/>
        </w:trPr>
        <w:tc>
          <w:tcPr>
            <w:tcW w:w="0" w:type="auto"/>
            <w:tcBorders>
              <w:top w:val="nil"/>
              <w:left w:val="nil"/>
              <w:bottom w:val="nil"/>
              <w:right w:val="nil"/>
            </w:tcBorders>
            <w:shd w:val="clear" w:color="auto" w:fill="auto"/>
            <w:noWrap/>
            <w:vAlign w:val="center"/>
            <w:hideMark/>
          </w:tcPr>
          <w:p w14:paraId="50E0FC95" w14:textId="77777777" w:rsidR="0065555D" w:rsidRPr="00A41CD4" w:rsidRDefault="0065555D" w:rsidP="0094653F">
            <w:pPr>
              <w:spacing w:after="0" w:line="240" w:lineRule="auto"/>
              <w:jc w:val="left"/>
              <w:rPr>
                <w:rFonts w:eastAsia="Times New Roman" w:cs="Times New Roman"/>
                <w:sz w:val="18"/>
                <w:szCs w:val="18"/>
              </w:rPr>
            </w:pPr>
            <w:r w:rsidRPr="00A41CD4">
              <w:rPr>
                <w:rFonts w:eastAsia="Times New Roman" w:cs="Times New Roman"/>
                <w:sz w:val="18"/>
                <w:szCs w:val="18"/>
              </w:rPr>
              <w:t>D(HHI quantile=5)</w:t>
            </w:r>
            <w:r w:rsidRPr="00A41CD4">
              <w:rPr>
                <w:rFonts w:eastAsia="Times New Roman" w:cs="Times New Roman"/>
                <w:color w:val="000000"/>
                <w:sz w:val="18"/>
                <w:szCs w:val="18"/>
              </w:rPr>
              <w:t xml:space="preserve"> × D(L1 Rollover)</w:t>
            </w:r>
          </w:p>
        </w:tc>
        <w:tc>
          <w:tcPr>
            <w:tcW w:w="0" w:type="auto"/>
            <w:tcBorders>
              <w:top w:val="nil"/>
              <w:left w:val="nil"/>
              <w:bottom w:val="nil"/>
              <w:right w:val="nil"/>
            </w:tcBorders>
            <w:shd w:val="clear" w:color="auto" w:fill="auto"/>
            <w:noWrap/>
            <w:vAlign w:val="center"/>
          </w:tcPr>
          <w:p w14:paraId="6246D11E"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51D168CE"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69AE78CE"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655D6C19"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0.9064</w:t>
            </w:r>
          </w:p>
        </w:tc>
        <w:tc>
          <w:tcPr>
            <w:tcW w:w="0" w:type="auto"/>
            <w:tcBorders>
              <w:top w:val="nil"/>
              <w:left w:val="nil"/>
              <w:bottom w:val="nil"/>
              <w:right w:val="nil"/>
            </w:tcBorders>
            <w:shd w:val="clear" w:color="auto" w:fill="auto"/>
            <w:noWrap/>
            <w:vAlign w:val="center"/>
          </w:tcPr>
          <w:p w14:paraId="4C08DF30"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2.4754</w:t>
            </w:r>
          </w:p>
        </w:tc>
        <w:tc>
          <w:tcPr>
            <w:tcW w:w="0" w:type="auto"/>
            <w:tcBorders>
              <w:top w:val="nil"/>
              <w:left w:val="nil"/>
              <w:bottom w:val="nil"/>
              <w:right w:val="nil"/>
            </w:tcBorders>
            <w:shd w:val="clear" w:color="auto" w:fill="auto"/>
            <w:noWrap/>
            <w:vAlign w:val="center"/>
          </w:tcPr>
          <w:p w14:paraId="0B6701B1"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(5.9131)</w:t>
            </w:r>
          </w:p>
        </w:tc>
        <w:tc>
          <w:tcPr>
            <w:tcW w:w="0" w:type="auto"/>
            <w:tcBorders>
              <w:top w:val="nil"/>
              <w:left w:val="nil"/>
              <w:bottom w:val="nil"/>
              <w:right w:val="nil"/>
            </w:tcBorders>
            <w:shd w:val="clear" w:color="auto" w:fill="auto"/>
            <w:noWrap/>
            <w:vAlign w:val="center"/>
          </w:tcPr>
          <w:p w14:paraId="09B8A132"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0.7371</w:t>
            </w:r>
          </w:p>
        </w:tc>
        <w:tc>
          <w:tcPr>
            <w:tcW w:w="0" w:type="auto"/>
            <w:tcBorders>
              <w:top w:val="nil"/>
              <w:left w:val="nil"/>
              <w:bottom w:val="nil"/>
              <w:right w:val="nil"/>
            </w:tcBorders>
            <w:shd w:val="clear" w:color="auto" w:fill="auto"/>
            <w:noWrap/>
            <w:vAlign w:val="center"/>
          </w:tcPr>
          <w:p w14:paraId="0B0CAFFE"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2.0899</w:t>
            </w:r>
          </w:p>
        </w:tc>
        <w:tc>
          <w:tcPr>
            <w:tcW w:w="0" w:type="auto"/>
            <w:tcBorders>
              <w:top w:val="nil"/>
              <w:left w:val="nil"/>
              <w:bottom w:val="nil"/>
              <w:right w:val="nil"/>
            </w:tcBorders>
            <w:shd w:val="clear" w:color="auto" w:fill="auto"/>
            <w:noWrap/>
            <w:vAlign w:val="center"/>
          </w:tcPr>
          <w:p w14:paraId="00C858ED"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(3.8520)</w:t>
            </w:r>
          </w:p>
        </w:tc>
      </w:tr>
      <w:tr w:rsidR="0065555D" w:rsidRPr="00A41CD4" w14:paraId="7FC4B6DF" w14:textId="77777777" w:rsidTr="0094653F">
        <w:trPr>
          <w:trHeight w:val="264"/>
          <w:jc w:val="center"/>
        </w:trPr>
        <w:tc>
          <w:tcPr>
            <w:tcW w:w="0" w:type="auto"/>
            <w:tcBorders>
              <w:top w:val="nil"/>
              <w:left w:val="nil"/>
              <w:bottom w:val="nil"/>
              <w:right w:val="nil"/>
            </w:tcBorders>
            <w:shd w:val="clear" w:color="auto" w:fill="auto"/>
            <w:noWrap/>
            <w:vAlign w:val="center"/>
            <w:hideMark/>
          </w:tcPr>
          <w:p w14:paraId="52666874" w14:textId="77777777" w:rsidR="0065555D" w:rsidRPr="00A41CD4" w:rsidRDefault="0065555D" w:rsidP="0094653F">
            <w:pPr>
              <w:spacing w:after="0" w:line="240" w:lineRule="auto"/>
              <w:jc w:val="left"/>
              <w:rPr>
                <w:rFonts w:eastAsia="Times New Roman" w:cs="Times New Roman"/>
                <w:sz w:val="18"/>
                <w:szCs w:val="18"/>
              </w:rPr>
            </w:pPr>
            <w:r w:rsidRPr="00A41CD4">
              <w:rPr>
                <w:rFonts w:eastAsia="Times New Roman" w:cs="Times New Roman"/>
                <w:sz w:val="18"/>
                <w:szCs w:val="18"/>
              </w:rPr>
              <w:t>D(HHI quantile=6)</w:t>
            </w:r>
            <w:r w:rsidRPr="00A41CD4">
              <w:rPr>
                <w:rFonts w:eastAsia="Times New Roman" w:cs="Times New Roman"/>
                <w:color w:val="000000"/>
                <w:sz w:val="18"/>
                <w:szCs w:val="18"/>
              </w:rPr>
              <w:t xml:space="preserve"> × D(L1 Rollover)</w:t>
            </w:r>
          </w:p>
        </w:tc>
        <w:tc>
          <w:tcPr>
            <w:tcW w:w="0" w:type="auto"/>
            <w:tcBorders>
              <w:top w:val="nil"/>
              <w:left w:val="nil"/>
              <w:bottom w:val="nil"/>
              <w:right w:val="nil"/>
            </w:tcBorders>
            <w:shd w:val="clear" w:color="auto" w:fill="auto"/>
            <w:noWrap/>
            <w:vAlign w:val="center"/>
          </w:tcPr>
          <w:p w14:paraId="3DC20EBB"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58BC0355"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3FD8C732"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7A5E918B"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19026D2C"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0D22E536"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0EC01340"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0.6771</w:t>
            </w:r>
          </w:p>
        </w:tc>
        <w:tc>
          <w:tcPr>
            <w:tcW w:w="0" w:type="auto"/>
            <w:tcBorders>
              <w:top w:val="nil"/>
              <w:left w:val="nil"/>
              <w:bottom w:val="nil"/>
              <w:right w:val="nil"/>
            </w:tcBorders>
            <w:shd w:val="clear" w:color="auto" w:fill="auto"/>
            <w:noWrap/>
            <w:vAlign w:val="center"/>
          </w:tcPr>
          <w:p w14:paraId="79AF2E6D"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1.9681</w:t>
            </w:r>
          </w:p>
        </w:tc>
        <w:tc>
          <w:tcPr>
            <w:tcW w:w="0" w:type="auto"/>
            <w:tcBorders>
              <w:top w:val="nil"/>
              <w:left w:val="nil"/>
              <w:bottom w:val="nil"/>
              <w:right w:val="nil"/>
            </w:tcBorders>
            <w:shd w:val="clear" w:color="auto" w:fill="auto"/>
            <w:noWrap/>
            <w:vAlign w:val="center"/>
          </w:tcPr>
          <w:p w14:paraId="509503EF"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(6.0877)</w:t>
            </w:r>
          </w:p>
        </w:tc>
      </w:tr>
      <w:tr w:rsidR="0065555D" w:rsidRPr="00A41CD4" w14:paraId="22C2F3F3" w14:textId="77777777" w:rsidTr="0094653F">
        <w:trPr>
          <w:trHeight w:val="264"/>
          <w:jc w:val="center"/>
        </w:trPr>
        <w:tc>
          <w:tcPr>
            <w:tcW w:w="0" w:type="auto"/>
            <w:tcBorders>
              <w:top w:val="nil"/>
              <w:left w:val="nil"/>
              <w:bottom w:val="nil"/>
              <w:right w:val="nil"/>
            </w:tcBorders>
            <w:shd w:val="clear" w:color="auto" w:fill="auto"/>
            <w:noWrap/>
            <w:vAlign w:val="center"/>
            <w:hideMark/>
          </w:tcPr>
          <w:p w14:paraId="38A87B0E" w14:textId="77777777" w:rsidR="0065555D" w:rsidRPr="00A41CD4" w:rsidRDefault="0065555D" w:rsidP="0094653F">
            <w:pPr>
              <w:spacing w:after="0" w:line="240" w:lineRule="auto"/>
              <w:jc w:val="left"/>
              <w:rPr>
                <w:rFonts w:eastAsia="MS Mincho" w:cs="Times New Roman"/>
                <w:sz w:val="18"/>
                <w:szCs w:val="18"/>
              </w:rPr>
            </w:pPr>
            <w:r w:rsidRPr="00A41CD4">
              <w:rPr>
                <w:rFonts w:eastAsia="MS Mincho" w:cs="Times New Roman"/>
                <w:sz w:val="18"/>
                <w:szCs w:val="18"/>
              </w:rPr>
              <w:t>Spread</w:t>
            </w:r>
          </w:p>
        </w:tc>
        <w:tc>
          <w:tcPr>
            <w:tcW w:w="0" w:type="auto"/>
            <w:tcBorders>
              <w:top w:val="nil"/>
              <w:left w:val="nil"/>
              <w:bottom w:val="nil"/>
              <w:right w:val="nil"/>
            </w:tcBorders>
            <w:shd w:val="clear" w:color="auto" w:fill="auto"/>
            <w:noWrap/>
            <w:vAlign w:val="center"/>
          </w:tcPr>
          <w:p w14:paraId="32858D3F"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48887677"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36357F22"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3D5B1544"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6A4BAA57"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73D2C73C" w14:textId="77777777" w:rsidR="0065555D" w:rsidRPr="00A41CD4" w:rsidRDefault="0065555D" w:rsidP="0094653F">
            <w:pPr>
              <w:spacing w:line="240" w:lineRule="auto"/>
              <w:jc w:val="center"/>
              <w:rPr>
                <w:rFonts w:cs="Times New Roman"/>
                <w:sz w:val="18"/>
                <w:szCs w:val="18"/>
              </w:rPr>
            </w:pPr>
          </w:p>
        </w:tc>
        <w:tc>
          <w:tcPr>
            <w:tcW w:w="0" w:type="auto"/>
            <w:tcBorders>
              <w:top w:val="nil"/>
              <w:left w:val="nil"/>
              <w:bottom w:val="nil"/>
              <w:right w:val="nil"/>
            </w:tcBorders>
            <w:shd w:val="clear" w:color="auto" w:fill="auto"/>
            <w:noWrap/>
            <w:vAlign w:val="center"/>
          </w:tcPr>
          <w:p w14:paraId="78323DC2"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0.8783</w:t>
            </w:r>
          </w:p>
        </w:tc>
        <w:tc>
          <w:tcPr>
            <w:tcW w:w="0" w:type="auto"/>
            <w:tcBorders>
              <w:top w:val="nil"/>
              <w:left w:val="nil"/>
              <w:bottom w:val="nil"/>
              <w:right w:val="nil"/>
            </w:tcBorders>
            <w:shd w:val="clear" w:color="auto" w:fill="auto"/>
            <w:noWrap/>
            <w:vAlign w:val="center"/>
          </w:tcPr>
          <w:p w14:paraId="3A782A25"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2.4069</w:t>
            </w:r>
          </w:p>
        </w:tc>
        <w:tc>
          <w:tcPr>
            <w:tcW w:w="0" w:type="auto"/>
            <w:tcBorders>
              <w:top w:val="nil"/>
              <w:left w:val="nil"/>
              <w:bottom w:val="nil"/>
              <w:right w:val="nil"/>
            </w:tcBorders>
            <w:shd w:val="clear" w:color="auto" w:fill="auto"/>
            <w:noWrap/>
            <w:vAlign w:val="center"/>
          </w:tcPr>
          <w:p w14:paraId="2EF5B239"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(3.6841)</w:t>
            </w:r>
          </w:p>
        </w:tc>
      </w:tr>
      <w:tr w:rsidR="0065555D" w:rsidRPr="00A41CD4" w14:paraId="618A9062" w14:textId="77777777" w:rsidTr="0094653F">
        <w:trPr>
          <w:trHeight w:val="264"/>
          <w:jc w:val="center"/>
        </w:trPr>
        <w:tc>
          <w:tcPr>
            <w:tcW w:w="0" w:type="auto"/>
            <w:tcBorders>
              <w:top w:val="nil"/>
              <w:left w:val="nil"/>
              <w:bottom w:val="nil"/>
              <w:right w:val="nil"/>
            </w:tcBorders>
            <w:shd w:val="clear" w:color="auto" w:fill="auto"/>
            <w:noWrap/>
            <w:vAlign w:val="center"/>
            <w:hideMark/>
          </w:tcPr>
          <w:p w14:paraId="2C157072" w14:textId="77777777" w:rsidR="0065555D" w:rsidRPr="00A41CD4" w:rsidRDefault="0065555D" w:rsidP="0094653F">
            <w:pPr>
              <w:spacing w:after="0" w:line="240" w:lineRule="auto"/>
              <w:jc w:val="left"/>
              <w:rPr>
                <w:rFonts w:eastAsia="Times New Roman" w:cs="Times New Roman"/>
                <w:sz w:val="18"/>
                <w:szCs w:val="18"/>
              </w:rPr>
            </w:pPr>
            <w:r w:rsidRPr="00A41CD4">
              <w:rPr>
                <w:rFonts w:eastAsia="Times New Roman" w:cs="Times New Roman"/>
                <w:color w:val="000000"/>
                <w:sz w:val="18"/>
                <w:szCs w:val="18"/>
              </w:rPr>
              <w:t>Log(</w:t>
            </w:r>
            <w:r>
              <w:rPr>
                <w:rFonts w:eastAsia="Times New Roman" w:cs="Times New Roman"/>
                <w:color w:val="000000"/>
                <w:sz w:val="18"/>
                <w:szCs w:val="18"/>
              </w:rPr>
              <w:t xml:space="preserve">Real </w:t>
            </w:r>
            <w:r w:rsidRPr="00A41CD4">
              <w:rPr>
                <w:rFonts w:eastAsia="Times New Roman" w:cs="Times New Roman"/>
                <w:color w:val="000000"/>
                <w:sz w:val="18"/>
                <w:szCs w:val="18"/>
              </w:rPr>
              <w:t>Property Value)</w:t>
            </w:r>
          </w:p>
        </w:tc>
        <w:tc>
          <w:tcPr>
            <w:tcW w:w="0" w:type="auto"/>
            <w:tcBorders>
              <w:top w:val="nil"/>
              <w:left w:val="nil"/>
              <w:bottom w:val="nil"/>
              <w:right w:val="nil"/>
            </w:tcBorders>
            <w:shd w:val="clear" w:color="auto" w:fill="auto"/>
            <w:noWrap/>
            <w:vAlign w:val="center"/>
          </w:tcPr>
          <w:p w14:paraId="4D877D9C"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1.0426</w:t>
            </w:r>
          </w:p>
        </w:tc>
        <w:tc>
          <w:tcPr>
            <w:tcW w:w="0" w:type="auto"/>
            <w:tcBorders>
              <w:top w:val="nil"/>
              <w:left w:val="nil"/>
              <w:bottom w:val="nil"/>
              <w:right w:val="nil"/>
            </w:tcBorders>
            <w:shd w:val="clear" w:color="auto" w:fill="auto"/>
            <w:noWrap/>
            <w:vAlign w:val="center"/>
          </w:tcPr>
          <w:p w14:paraId="61EAAC5A"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2.8367</w:t>
            </w:r>
          </w:p>
        </w:tc>
        <w:tc>
          <w:tcPr>
            <w:tcW w:w="0" w:type="auto"/>
            <w:tcBorders>
              <w:top w:val="nil"/>
              <w:left w:val="nil"/>
              <w:bottom w:val="nil"/>
              <w:right w:val="nil"/>
            </w:tcBorders>
            <w:shd w:val="clear" w:color="auto" w:fill="auto"/>
            <w:noWrap/>
            <w:vAlign w:val="center"/>
          </w:tcPr>
          <w:p w14:paraId="02E2DB01"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(10.7847)</w:t>
            </w:r>
          </w:p>
        </w:tc>
        <w:tc>
          <w:tcPr>
            <w:tcW w:w="0" w:type="auto"/>
            <w:tcBorders>
              <w:top w:val="nil"/>
              <w:left w:val="nil"/>
              <w:bottom w:val="nil"/>
              <w:right w:val="nil"/>
            </w:tcBorders>
            <w:shd w:val="clear" w:color="auto" w:fill="auto"/>
            <w:noWrap/>
            <w:vAlign w:val="center"/>
          </w:tcPr>
          <w:p w14:paraId="53F874D4"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1.0418</w:t>
            </w:r>
          </w:p>
        </w:tc>
        <w:tc>
          <w:tcPr>
            <w:tcW w:w="0" w:type="auto"/>
            <w:tcBorders>
              <w:top w:val="nil"/>
              <w:left w:val="nil"/>
              <w:bottom w:val="nil"/>
              <w:right w:val="nil"/>
            </w:tcBorders>
            <w:shd w:val="clear" w:color="auto" w:fill="auto"/>
            <w:noWrap/>
            <w:vAlign w:val="center"/>
          </w:tcPr>
          <w:p w14:paraId="7DA6BD16"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2.8343</w:t>
            </w:r>
          </w:p>
        </w:tc>
        <w:tc>
          <w:tcPr>
            <w:tcW w:w="0" w:type="auto"/>
            <w:tcBorders>
              <w:top w:val="nil"/>
              <w:left w:val="nil"/>
              <w:bottom w:val="nil"/>
              <w:right w:val="nil"/>
            </w:tcBorders>
            <w:shd w:val="clear" w:color="auto" w:fill="auto"/>
            <w:noWrap/>
            <w:vAlign w:val="center"/>
          </w:tcPr>
          <w:p w14:paraId="00B0DE32"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(11.0448)</w:t>
            </w:r>
          </w:p>
        </w:tc>
        <w:tc>
          <w:tcPr>
            <w:tcW w:w="0" w:type="auto"/>
            <w:tcBorders>
              <w:top w:val="nil"/>
              <w:left w:val="nil"/>
              <w:bottom w:val="nil"/>
              <w:right w:val="nil"/>
            </w:tcBorders>
            <w:shd w:val="clear" w:color="auto" w:fill="auto"/>
            <w:noWrap/>
            <w:vAlign w:val="center"/>
          </w:tcPr>
          <w:p w14:paraId="1C48D88B"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1.0455</w:t>
            </w:r>
          </w:p>
        </w:tc>
        <w:tc>
          <w:tcPr>
            <w:tcW w:w="0" w:type="auto"/>
            <w:tcBorders>
              <w:top w:val="nil"/>
              <w:left w:val="nil"/>
              <w:bottom w:val="nil"/>
              <w:right w:val="nil"/>
            </w:tcBorders>
            <w:shd w:val="clear" w:color="auto" w:fill="auto"/>
            <w:noWrap/>
            <w:vAlign w:val="center"/>
          </w:tcPr>
          <w:p w14:paraId="31A7FEB3"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2.8448</w:t>
            </w:r>
          </w:p>
        </w:tc>
        <w:tc>
          <w:tcPr>
            <w:tcW w:w="0" w:type="auto"/>
            <w:tcBorders>
              <w:top w:val="nil"/>
              <w:left w:val="nil"/>
              <w:bottom w:val="nil"/>
              <w:right w:val="nil"/>
            </w:tcBorders>
            <w:shd w:val="clear" w:color="auto" w:fill="auto"/>
            <w:noWrap/>
            <w:vAlign w:val="center"/>
          </w:tcPr>
          <w:p w14:paraId="14E2F2D5"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(10.8802)</w:t>
            </w:r>
          </w:p>
        </w:tc>
      </w:tr>
      <w:tr w:rsidR="0065555D" w:rsidRPr="00A41CD4" w14:paraId="294A9EA1" w14:textId="77777777" w:rsidTr="0094653F">
        <w:trPr>
          <w:trHeight w:val="264"/>
          <w:jc w:val="center"/>
        </w:trPr>
        <w:tc>
          <w:tcPr>
            <w:tcW w:w="0" w:type="auto"/>
            <w:tcBorders>
              <w:top w:val="nil"/>
              <w:left w:val="nil"/>
              <w:bottom w:val="nil"/>
              <w:right w:val="nil"/>
            </w:tcBorders>
            <w:shd w:val="clear" w:color="auto" w:fill="auto"/>
            <w:noWrap/>
            <w:vAlign w:val="center"/>
            <w:hideMark/>
          </w:tcPr>
          <w:p w14:paraId="1BD1EE3C" w14:textId="77777777" w:rsidR="0065555D" w:rsidRPr="00A41CD4" w:rsidRDefault="0065555D" w:rsidP="0094653F">
            <w:pPr>
              <w:spacing w:after="0" w:line="240" w:lineRule="auto"/>
              <w:jc w:val="left"/>
              <w:rPr>
                <w:rFonts w:eastAsia="Times New Roman" w:cs="Times New Roman"/>
                <w:sz w:val="18"/>
                <w:szCs w:val="18"/>
              </w:rPr>
            </w:pPr>
            <w:r w:rsidRPr="00A41CD4">
              <w:rPr>
                <w:rFonts w:eastAsia="Times New Roman" w:cs="Times New Roman"/>
                <w:sz w:val="18"/>
                <w:szCs w:val="18"/>
              </w:rPr>
              <w:t>LTV (%)</w:t>
            </w:r>
          </w:p>
        </w:tc>
        <w:tc>
          <w:tcPr>
            <w:tcW w:w="0" w:type="auto"/>
            <w:tcBorders>
              <w:top w:val="nil"/>
              <w:left w:val="nil"/>
              <w:bottom w:val="nil"/>
              <w:right w:val="nil"/>
            </w:tcBorders>
            <w:shd w:val="clear" w:color="auto" w:fill="auto"/>
            <w:noWrap/>
            <w:vAlign w:val="center"/>
          </w:tcPr>
          <w:p w14:paraId="5FAD41DF"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-0.0146</w:t>
            </w:r>
          </w:p>
        </w:tc>
        <w:tc>
          <w:tcPr>
            <w:tcW w:w="0" w:type="auto"/>
            <w:tcBorders>
              <w:top w:val="nil"/>
              <w:left w:val="nil"/>
              <w:bottom w:val="nil"/>
              <w:right w:val="nil"/>
            </w:tcBorders>
            <w:shd w:val="clear" w:color="auto" w:fill="auto"/>
            <w:noWrap/>
            <w:vAlign w:val="center"/>
          </w:tcPr>
          <w:p w14:paraId="14C4EC32"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0.9855</w:t>
            </w:r>
          </w:p>
        </w:tc>
        <w:tc>
          <w:tcPr>
            <w:tcW w:w="0" w:type="auto"/>
            <w:tcBorders>
              <w:top w:val="nil"/>
              <w:left w:val="nil"/>
              <w:bottom w:val="nil"/>
              <w:right w:val="nil"/>
            </w:tcBorders>
            <w:shd w:val="clear" w:color="auto" w:fill="auto"/>
            <w:noWrap/>
            <w:vAlign w:val="center"/>
          </w:tcPr>
          <w:p w14:paraId="61A5E805"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(-0.4983)</w:t>
            </w:r>
          </w:p>
        </w:tc>
        <w:tc>
          <w:tcPr>
            <w:tcW w:w="0" w:type="auto"/>
            <w:tcBorders>
              <w:top w:val="nil"/>
              <w:left w:val="nil"/>
              <w:bottom w:val="nil"/>
              <w:right w:val="nil"/>
            </w:tcBorders>
            <w:shd w:val="clear" w:color="auto" w:fill="auto"/>
            <w:noWrap/>
            <w:vAlign w:val="center"/>
          </w:tcPr>
          <w:p w14:paraId="34C2E7F3"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-0.0156</w:t>
            </w:r>
          </w:p>
        </w:tc>
        <w:tc>
          <w:tcPr>
            <w:tcW w:w="0" w:type="auto"/>
            <w:tcBorders>
              <w:top w:val="nil"/>
              <w:left w:val="nil"/>
              <w:bottom w:val="nil"/>
              <w:right w:val="nil"/>
            </w:tcBorders>
            <w:shd w:val="clear" w:color="auto" w:fill="auto"/>
            <w:noWrap/>
            <w:vAlign w:val="center"/>
          </w:tcPr>
          <w:p w14:paraId="344930D7"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0.9846</w:t>
            </w:r>
          </w:p>
        </w:tc>
        <w:tc>
          <w:tcPr>
            <w:tcW w:w="0" w:type="auto"/>
            <w:tcBorders>
              <w:top w:val="nil"/>
              <w:left w:val="nil"/>
              <w:bottom w:val="nil"/>
              <w:right w:val="nil"/>
            </w:tcBorders>
            <w:shd w:val="clear" w:color="auto" w:fill="auto"/>
            <w:noWrap/>
            <w:vAlign w:val="center"/>
          </w:tcPr>
          <w:p w14:paraId="76E38098"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(-0.5084)</w:t>
            </w:r>
          </w:p>
        </w:tc>
        <w:tc>
          <w:tcPr>
            <w:tcW w:w="0" w:type="auto"/>
            <w:tcBorders>
              <w:top w:val="nil"/>
              <w:left w:val="nil"/>
              <w:bottom w:val="nil"/>
              <w:right w:val="nil"/>
            </w:tcBorders>
            <w:shd w:val="clear" w:color="auto" w:fill="auto"/>
            <w:noWrap/>
            <w:vAlign w:val="center"/>
          </w:tcPr>
          <w:p w14:paraId="10C934EB"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0.0655</w:t>
            </w:r>
          </w:p>
        </w:tc>
        <w:tc>
          <w:tcPr>
            <w:tcW w:w="0" w:type="auto"/>
            <w:tcBorders>
              <w:top w:val="nil"/>
              <w:left w:val="nil"/>
              <w:bottom w:val="nil"/>
              <w:right w:val="nil"/>
            </w:tcBorders>
            <w:shd w:val="clear" w:color="auto" w:fill="auto"/>
            <w:noWrap/>
            <w:vAlign w:val="center"/>
          </w:tcPr>
          <w:p w14:paraId="11FFCBDA"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1.0677</w:t>
            </w:r>
          </w:p>
        </w:tc>
        <w:tc>
          <w:tcPr>
            <w:tcW w:w="0" w:type="auto"/>
            <w:tcBorders>
              <w:top w:val="nil"/>
              <w:left w:val="nil"/>
              <w:bottom w:val="nil"/>
              <w:right w:val="nil"/>
            </w:tcBorders>
            <w:shd w:val="clear" w:color="auto" w:fill="auto"/>
            <w:noWrap/>
            <w:vAlign w:val="center"/>
          </w:tcPr>
          <w:p w14:paraId="1D3C31AE"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(1.9533)</w:t>
            </w:r>
          </w:p>
        </w:tc>
      </w:tr>
      <w:tr w:rsidR="0065555D" w:rsidRPr="00A41CD4" w14:paraId="2452BC84" w14:textId="77777777" w:rsidTr="0094653F">
        <w:trPr>
          <w:trHeight w:val="264"/>
          <w:jc w:val="center"/>
        </w:trPr>
        <w:tc>
          <w:tcPr>
            <w:tcW w:w="0" w:type="auto"/>
            <w:tcBorders>
              <w:top w:val="nil"/>
              <w:left w:val="nil"/>
              <w:bottom w:val="nil"/>
              <w:right w:val="nil"/>
            </w:tcBorders>
            <w:shd w:val="clear" w:color="auto" w:fill="auto"/>
            <w:noWrap/>
            <w:vAlign w:val="center"/>
            <w:hideMark/>
          </w:tcPr>
          <w:p w14:paraId="2EB445BB" w14:textId="77777777" w:rsidR="0065555D" w:rsidRPr="00A41CD4" w:rsidRDefault="0065555D" w:rsidP="0094653F">
            <w:pPr>
              <w:spacing w:after="0" w:line="240" w:lineRule="auto"/>
              <w:jc w:val="left"/>
              <w:rPr>
                <w:rFonts w:eastAsia="Times New Roman" w:cs="Times New Roman"/>
                <w:color w:val="000000"/>
                <w:sz w:val="18"/>
                <w:szCs w:val="18"/>
              </w:rPr>
            </w:pPr>
            <w:r w:rsidRPr="00A41CD4">
              <w:rPr>
                <w:rFonts w:eastAsia="Times New Roman" w:cs="Times New Roman"/>
                <w:color w:val="000000"/>
                <w:sz w:val="18"/>
                <w:szCs w:val="18"/>
              </w:rPr>
              <w:t>NOI / Prop Value</w:t>
            </w:r>
          </w:p>
        </w:tc>
        <w:tc>
          <w:tcPr>
            <w:tcW w:w="0" w:type="auto"/>
            <w:tcBorders>
              <w:top w:val="nil"/>
              <w:left w:val="nil"/>
              <w:bottom w:val="nil"/>
              <w:right w:val="nil"/>
            </w:tcBorders>
            <w:shd w:val="clear" w:color="auto" w:fill="auto"/>
            <w:noWrap/>
            <w:vAlign w:val="center"/>
          </w:tcPr>
          <w:p w14:paraId="54E3D619"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0.0521</w:t>
            </w:r>
          </w:p>
        </w:tc>
        <w:tc>
          <w:tcPr>
            <w:tcW w:w="0" w:type="auto"/>
            <w:tcBorders>
              <w:top w:val="nil"/>
              <w:left w:val="nil"/>
              <w:bottom w:val="nil"/>
              <w:right w:val="nil"/>
            </w:tcBorders>
            <w:shd w:val="clear" w:color="auto" w:fill="auto"/>
            <w:noWrap/>
            <w:vAlign w:val="center"/>
          </w:tcPr>
          <w:p w14:paraId="43995BA4"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1.0535</w:t>
            </w:r>
          </w:p>
        </w:tc>
        <w:tc>
          <w:tcPr>
            <w:tcW w:w="0" w:type="auto"/>
            <w:tcBorders>
              <w:top w:val="nil"/>
              <w:left w:val="nil"/>
              <w:bottom w:val="nil"/>
              <w:right w:val="nil"/>
            </w:tcBorders>
            <w:shd w:val="clear" w:color="auto" w:fill="auto"/>
            <w:noWrap/>
            <w:vAlign w:val="center"/>
          </w:tcPr>
          <w:p w14:paraId="6D5D8542"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(10.3850)</w:t>
            </w:r>
          </w:p>
        </w:tc>
        <w:tc>
          <w:tcPr>
            <w:tcW w:w="0" w:type="auto"/>
            <w:tcBorders>
              <w:top w:val="nil"/>
              <w:left w:val="nil"/>
              <w:bottom w:val="nil"/>
              <w:right w:val="nil"/>
            </w:tcBorders>
            <w:shd w:val="clear" w:color="auto" w:fill="auto"/>
            <w:noWrap/>
            <w:vAlign w:val="center"/>
          </w:tcPr>
          <w:p w14:paraId="37CE1749"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0.0519</w:t>
            </w:r>
          </w:p>
        </w:tc>
        <w:tc>
          <w:tcPr>
            <w:tcW w:w="0" w:type="auto"/>
            <w:tcBorders>
              <w:top w:val="nil"/>
              <w:left w:val="nil"/>
              <w:bottom w:val="nil"/>
              <w:right w:val="nil"/>
            </w:tcBorders>
            <w:shd w:val="clear" w:color="auto" w:fill="auto"/>
            <w:noWrap/>
            <w:vAlign w:val="center"/>
          </w:tcPr>
          <w:p w14:paraId="78600AFB"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1.0533</w:t>
            </w:r>
          </w:p>
        </w:tc>
        <w:tc>
          <w:tcPr>
            <w:tcW w:w="0" w:type="auto"/>
            <w:tcBorders>
              <w:top w:val="nil"/>
              <w:left w:val="nil"/>
              <w:bottom w:val="nil"/>
              <w:right w:val="nil"/>
            </w:tcBorders>
            <w:shd w:val="clear" w:color="auto" w:fill="auto"/>
            <w:noWrap/>
            <w:vAlign w:val="center"/>
          </w:tcPr>
          <w:p w14:paraId="1792399F"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(10.3249)</w:t>
            </w:r>
          </w:p>
        </w:tc>
        <w:tc>
          <w:tcPr>
            <w:tcW w:w="0" w:type="auto"/>
            <w:tcBorders>
              <w:top w:val="nil"/>
              <w:left w:val="nil"/>
              <w:bottom w:val="nil"/>
              <w:right w:val="nil"/>
            </w:tcBorders>
            <w:shd w:val="clear" w:color="auto" w:fill="auto"/>
            <w:noWrap/>
            <w:vAlign w:val="center"/>
          </w:tcPr>
          <w:p w14:paraId="5FB934BE"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0.0533</w:t>
            </w:r>
          </w:p>
        </w:tc>
        <w:tc>
          <w:tcPr>
            <w:tcW w:w="0" w:type="auto"/>
            <w:tcBorders>
              <w:top w:val="nil"/>
              <w:left w:val="nil"/>
              <w:bottom w:val="nil"/>
              <w:right w:val="nil"/>
            </w:tcBorders>
            <w:shd w:val="clear" w:color="auto" w:fill="auto"/>
            <w:noWrap/>
            <w:vAlign w:val="center"/>
          </w:tcPr>
          <w:p w14:paraId="5F294EC3"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1.0547</w:t>
            </w:r>
          </w:p>
        </w:tc>
        <w:tc>
          <w:tcPr>
            <w:tcW w:w="0" w:type="auto"/>
            <w:tcBorders>
              <w:top w:val="nil"/>
              <w:left w:val="nil"/>
              <w:bottom w:val="nil"/>
              <w:right w:val="nil"/>
            </w:tcBorders>
            <w:shd w:val="clear" w:color="auto" w:fill="auto"/>
            <w:noWrap/>
            <w:vAlign w:val="center"/>
          </w:tcPr>
          <w:p w14:paraId="4EBF84B4"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(10.8877)</w:t>
            </w:r>
          </w:p>
        </w:tc>
      </w:tr>
      <w:tr w:rsidR="0065555D" w:rsidRPr="00A41CD4" w14:paraId="2CE1DEB7" w14:textId="77777777" w:rsidTr="0094653F">
        <w:trPr>
          <w:trHeight w:val="264"/>
          <w:jc w:val="center"/>
        </w:trPr>
        <w:tc>
          <w:tcPr>
            <w:tcW w:w="0" w:type="auto"/>
            <w:tcBorders>
              <w:top w:val="nil"/>
              <w:left w:val="nil"/>
              <w:bottom w:val="nil"/>
              <w:right w:val="nil"/>
            </w:tcBorders>
            <w:shd w:val="clear" w:color="auto" w:fill="auto"/>
            <w:noWrap/>
            <w:vAlign w:val="center"/>
            <w:hideMark/>
          </w:tcPr>
          <w:p w14:paraId="1516E69A" w14:textId="77777777" w:rsidR="0065555D" w:rsidRPr="00A41CD4" w:rsidRDefault="0065555D" w:rsidP="0094653F">
            <w:pPr>
              <w:spacing w:after="0" w:line="240" w:lineRule="auto"/>
              <w:jc w:val="left"/>
              <w:rPr>
                <w:rFonts w:eastAsia="Times New Roman" w:cs="Times New Roman"/>
                <w:color w:val="000000"/>
                <w:sz w:val="18"/>
                <w:szCs w:val="18"/>
              </w:rPr>
            </w:pPr>
            <w:r w:rsidRPr="00A41CD4">
              <w:rPr>
                <w:rFonts w:eastAsia="Times New Roman" w:cs="Times New Roman"/>
                <w:color w:val="000000"/>
                <w:sz w:val="18"/>
                <w:szCs w:val="18"/>
              </w:rPr>
              <w:t>Occupancy Rate</w:t>
            </w:r>
          </w:p>
        </w:tc>
        <w:tc>
          <w:tcPr>
            <w:tcW w:w="0" w:type="auto"/>
            <w:tcBorders>
              <w:top w:val="nil"/>
              <w:left w:val="nil"/>
              <w:bottom w:val="nil"/>
              <w:right w:val="nil"/>
            </w:tcBorders>
            <w:shd w:val="clear" w:color="auto" w:fill="auto"/>
            <w:noWrap/>
            <w:vAlign w:val="center"/>
          </w:tcPr>
          <w:p w14:paraId="2A9962D6"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-5.2187</w:t>
            </w:r>
          </w:p>
        </w:tc>
        <w:tc>
          <w:tcPr>
            <w:tcW w:w="0" w:type="auto"/>
            <w:tcBorders>
              <w:top w:val="nil"/>
              <w:left w:val="nil"/>
              <w:bottom w:val="nil"/>
              <w:right w:val="nil"/>
            </w:tcBorders>
            <w:shd w:val="clear" w:color="auto" w:fill="auto"/>
            <w:noWrap/>
            <w:vAlign w:val="center"/>
          </w:tcPr>
          <w:p w14:paraId="59716AC1"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0.0054</w:t>
            </w:r>
          </w:p>
        </w:tc>
        <w:tc>
          <w:tcPr>
            <w:tcW w:w="0" w:type="auto"/>
            <w:tcBorders>
              <w:top w:val="nil"/>
              <w:left w:val="nil"/>
              <w:bottom w:val="nil"/>
              <w:right w:val="nil"/>
            </w:tcBorders>
            <w:shd w:val="clear" w:color="auto" w:fill="auto"/>
            <w:noWrap/>
            <w:vAlign w:val="center"/>
          </w:tcPr>
          <w:p w14:paraId="6F196519"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(-1.2541)</w:t>
            </w:r>
          </w:p>
        </w:tc>
        <w:tc>
          <w:tcPr>
            <w:tcW w:w="0" w:type="auto"/>
            <w:tcBorders>
              <w:top w:val="nil"/>
              <w:left w:val="nil"/>
              <w:bottom w:val="nil"/>
              <w:right w:val="nil"/>
            </w:tcBorders>
            <w:shd w:val="clear" w:color="auto" w:fill="auto"/>
            <w:noWrap/>
            <w:vAlign w:val="center"/>
          </w:tcPr>
          <w:p w14:paraId="3C485B01"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-5.2902</w:t>
            </w:r>
          </w:p>
        </w:tc>
        <w:tc>
          <w:tcPr>
            <w:tcW w:w="0" w:type="auto"/>
            <w:tcBorders>
              <w:top w:val="nil"/>
              <w:left w:val="nil"/>
              <w:bottom w:val="nil"/>
              <w:right w:val="nil"/>
            </w:tcBorders>
            <w:shd w:val="clear" w:color="auto" w:fill="auto"/>
            <w:noWrap/>
            <w:vAlign w:val="center"/>
          </w:tcPr>
          <w:p w14:paraId="3ED816FF"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0.0050</w:t>
            </w:r>
          </w:p>
        </w:tc>
        <w:tc>
          <w:tcPr>
            <w:tcW w:w="0" w:type="auto"/>
            <w:tcBorders>
              <w:top w:val="nil"/>
              <w:left w:val="nil"/>
              <w:bottom w:val="nil"/>
              <w:right w:val="nil"/>
            </w:tcBorders>
            <w:shd w:val="clear" w:color="auto" w:fill="auto"/>
            <w:noWrap/>
            <w:vAlign w:val="center"/>
          </w:tcPr>
          <w:p w14:paraId="02F7021E"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(-1.2789)</w:t>
            </w:r>
          </w:p>
        </w:tc>
        <w:tc>
          <w:tcPr>
            <w:tcW w:w="0" w:type="auto"/>
            <w:tcBorders>
              <w:top w:val="nil"/>
              <w:left w:val="nil"/>
              <w:bottom w:val="nil"/>
              <w:right w:val="nil"/>
            </w:tcBorders>
            <w:shd w:val="clear" w:color="auto" w:fill="auto"/>
            <w:noWrap/>
            <w:vAlign w:val="center"/>
          </w:tcPr>
          <w:p w14:paraId="5918E554"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-5.8033</w:t>
            </w:r>
          </w:p>
        </w:tc>
        <w:tc>
          <w:tcPr>
            <w:tcW w:w="0" w:type="auto"/>
            <w:tcBorders>
              <w:top w:val="nil"/>
              <w:left w:val="nil"/>
              <w:bottom w:val="nil"/>
              <w:right w:val="nil"/>
            </w:tcBorders>
            <w:shd w:val="clear" w:color="auto" w:fill="auto"/>
            <w:noWrap/>
            <w:vAlign w:val="center"/>
          </w:tcPr>
          <w:p w14:paraId="2B22BCB5"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0.0030</w:t>
            </w:r>
          </w:p>
        </w:tc>
        <w:tc>
          <w:tcPr>
            <w:tcW w:w="0" w:type="auto"/>
            <w:tcBorders>
              <w:top w:val="nil"/>
              <w:left w:val="nil"/>
              <w:bottom w:val="nil"/>
              <w:right w:val="nil"/>
            </w:tcBorders>
            <w:shd w:val="clear" w:color="auto" w:fill="auto"/>
            <w:noWrap/>
            <w:vAlign w:val="center"/>
          </w:tcPr>
          <w:p w14:paraId="6EAE3987"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(-1.4210)</w:t>
            </w:r>
          </w:p>
        </w:tc>
      </w:tr>
      <w:tr w:rsidR="0065555D" w:rsidRPr="00A41CD4" w14:paraId="0FBFDE2B" w14:textId="77777777" w:rsidTr="0094653F">
        <w:trPr>
          <w:trHeight w:val="264"/>
          <w:jc w:val="center"/>
        </w:trPr>
        <w:tc>
          <w:tcPr>
            <w:tcW w:w="0" w:type="auto"/>
            <w:tcBorders>
              <w:top w:val="nil"/>
              <w:left w:val="nil"/>
              <w:bottom w:val="nil"/>
              <w:right w:val="nil"/>
            </w:tcBorders>
            <w:shd w:val="clear" w:color="auto" w:fill="auto"/>
            <w:noWrap/>
            <w:vAlign w:val="center"/>
            <w:hideMark/>
          </w:tcPr>
          <w:p w14:paraId="7029D0E5" w14:textId="77777777" w:rsidR="0065555D" w:rsidRPr="00A41CD4" w:rsidRDefault="0065555D" w:rsidP="0094653F">
            <w:pPr>
              <w:spacing w:after="0" w:line="240" w:lineRule="auto"/>
              <w:jc w:val="left"/>
              <w:rPr>
                <w:rFonts w:eastAsia="Times New Roman" w:cs="Times New Roman"/>
                <w:color w:val="000000"/>
                <w:sz w:val="18"/>
                <w:szCs w:val="18"/>
              </w:rPr>
            </w:pPr>
            <w:r w:rsidRPr="00A41CD4">
              <w:rPr>
                <w:rFonts w:eastAsia="Times New Roman" w:cs="Times New Roman"/>
                <w:color w:val="000000"/>
                <w:sz w:val="18"/>
                <w:szCs w:val="18"/>
              </w:rPr>
              <w:t>Amortization Rate</w:t>
            </w:r>
          </w:p>
        </w:tc>
        <w:tc>
          <w:tcPr>
            <w:tcW w:w="0" w:type="auto"/>
            <w:tcBorders>
              <w:top w:val="nil"/>
              <w:left w:val="nil"/>
              <w:bottom w:val="nil"/>
              <w:right w:val="nil"/>
            </w:tcBorders>
            <w:shd w:val="clear" w:color="auto" w:fill="auto"/>
            <w:noWrap/>
            <w:vAlign w:val="center"/>
          </w:tcPr>
          <w:p w14:paraId="0F3FC6CC"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-0.0136</w:t>
            </w:r>
          </w:p>
        </w:tc>
        <w:tc>
          <w:tcPr>
            <w:tcW w:w="0" w:type="auto"/>
            <w:tcBorders>
              <w:top w:val="nil"/>
              <w:left w:val="nil"/>
              <w:bottom w:val="nil"/>
              <w:right w:val="nil"/>
            </w:tcBorders>
            <w:shd w:val="clear" w:color="auto" w:fill="auto"/>
            <w:noWrap/>
            <w:vAlign w:val="center"/>
          </w:tcPr>
          <w:p w14:paraId="1CBA3F47"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0.9865</w:t>
            </w:r>
          </w:p>
        </w:tc>
        <w:tc>
          <w:tcPr>
            <w:tcW w:w="0" w:type="auto"/>
            <w:tcBorders>
              <w:top w:val="nil"/>
              <w:left w:val="nil"/>
              <w:bottom w:val="nil"/>
              <w:right w:val="nil"/>
            </w:tcBorders>
            <w:shd w:val="clear" w:color="auto" w:fill="auto"/>
            <w:noWrap/>
            <w:vAlign w:val="center"/>
          </w:tcPr>
          <w:p w14:paraId="301A3EFE"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(-2.0862)</w:t>
            </w:r>
          </w:p>
        </w:tc>
        <w:tc>
          <w:tcPr>
            <w:tcW w:w="0" w:type="auto"/>
            <w:tcBorders>
              <w:top w:val="nil"/>
              <w:left w:val="nil"/>
              <w:bottom w:val="nil"/>
              <w:right w:val="nil"/>
            </w:tcBorders>
            <w:shd w:val="clear" w:color="auto" w:fill="auto"/>
            <w:noWrap/>
            <w:vAlign w:val="center"/>
          </w:tcPr>
          <w:p w14:paraId="79EF5296"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-0.0143</w:t>
            </w:r>
          </w:p>
        </w:tc>
        <w:tc>
          <w:tcPr>
            <w:tcW w:w="0" w:type="auto"/>
            <w:tcBorders>
              <w:top w:val="nil"/>
              <w:left w:val="nil"/>
              <w:bottom w:val="nil"/>
              <w:right w:val="nil"/>
            </w:tcBorders>
            <w:shd w:val="clear" w:color="auto" w:fill="auto"/>
            <w:noWrap/>
            <w:vAlign w:val="center"/>
          </w:tcPr>
          <w:p w14:paraId="6D404D29"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0.9858</w:t>
            </w:r>
          </w:p>
        </w:tc>
        <w:tc>
          <w:tcPr>
            <w:tcW w:w="0" w:type="auto"/>
            <w:tcBorders>
              <w:top w:val="nil"/>
              <w:left w:val="nil"/>
              <w:bottom w:val="nil"/>
              <w:right w:val="nil"/>
            </w:tcBorders>
            <w:shd w:val="clear" w:color="auto" w:fill="auto"/>
            <w:noWrap/>
            <w:vAlign w:val="center"/>
          </w:tcPr>
          <w:p w14:paraId="56DD03B9"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(-2.3122)</w:t>
            </w:r>
          </w:p>
        </w:tc>
        <w:tc>
          <w:tcPr>
            <w:tcW w:w="0" w:type="auto"/>
            <w:tcBorders>
              <w:top w:val="nil"/>
              <w:left w:val="nil"/>
              <w:bottom w:val="nil"/>
              <w:right w:val="nil"/>
            </w:tcBorders>
            <w:shd w:val="clear" w:color="auto" w:fill="auto"/>
            <w:noWrap/>
            <w:vAlign w:val="center"/>
          </w:tcPr>
          <w:p w14:paraId="77E4A459"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-0.0155</w:t>
            </w:r>
          </w:p>
        </w:tc>
        <w:tc>
          <w:tcPr>
            <w:tcW w:w="0" w:type="auto"/>
            <w:tcBorders>
              <w:top w:val="nil"/>
              <w:left w:val="nil"/>
              <w:bottom w:val="nil"/>
              <w:right w:val="nil"/>
            </w:tcBorders>
            <w:shd w:val="clear" w:color="auto" w:fill="auto"/>
            <w:noWrap/>
            <w:vAlign w:val="center"/>
          </w:tcPr>
          <w:p w14:paraId="1981E9DD"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0.9846</w:t>
            </w:r>
          </w:p>
        </w:tc>
        <w:tc>
          <w:tcPr>
            <w:tcW w:w="0" w:type="auto"/>
            <w:tcBorders>
              <w:top w:val="nil"/>
              <w:left w:val="nil"/>
              <w:bottom w:val="nil"/>
              <w:right w:val="nil"/>
            </w:tcBorders>
            <w:shd w:val="clear" w:color="auto" w:fill="auto"/>
            <w:noWrap/>
            <w:vAlign w:val="center"/>
          </w:tcPr>
          <w:p w14:paraId="27F57CC2"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(-2.4979)</w:t>
            </w:r>
          </w:p>
        </w:tc>
      </w:tr>
      <w:tr w:rsidR="0065555D" w:rsidRPr="00A41CD4" w14:paraId="3641C111" w14:textId="77777777" w:rsidTr="0094653F">
        <w:trPr>
          <w:trHeight w:val="264"/>
          <w:jc w:val="center"/>
        </w:trPr>
        <w:tc>
          <w:tcPr>
            <w:tcW w:w="0" w:type="auto"/>
            <w:tcBorders>
              <w:top w:val="nil"/>
              <w:left w:val="nil"/>
              <w:bottom w:val="nil"/>
              <w:right w:val="nil"/>
            </w:tcBorders>
            <w:shd w:val="clear" w:color="auto" w:fill="auto"/>
            <w:noWrap/>
            <w:vAlign w:val="center"/>
            <w:hideMark/>
          </w:tcPr>
          <w:p w14:paraId="4EBADA3B" w14:textId="77777777" w:rsidR="0065555D" w:rsidRPr="00A41CD4" w:rsidRDefault="0065555D" w:rsidP="0094653F">
            <w:pPr>
              <w:spacing w:after="0" w:line="240" w:lineRule="auto"/>
              <w:jc w:val="left"/>
              <w:rPr>
                <w:rFonts w:eastAsia="Times New Roman" w:cs="Times New Roman"/>
                <w:color w:val="000000"/>
                <w:sz w:val="18"/>
                <w:szCs w:val="18"/>
              </w:rPr>
            </w:pPr>
            <w:r w:rsidRPr="00A41CD4">
              <w:rPr>
                <w:rFonts w:eastAsia="Times New Roman" w:cs="Times New Roman"/>
                <w:color w:val="000000"/>
                <w:sz w:val="18"/>
                <w:szCs w:val="18"/>
              </w:rPr>
              <w:t>Log(Property Age)</w:t>
            </w:r>
          </w:p>
        </w:tc>
        <w:tc>
          <w:tcPr>
            <w:tcW w:w="0" w:type="auto"/>
            <w:tcBorders>
              <w:top w:val="nil"/>
              <w:left w:val="nil"/>
              <w:bottom w:val="nil"/>
              <w:right w:val="nil"/>
            </w:tcBorders>
            <w:shd w:val="clear" w:color="auto" w:fill="auto"/>
            <w:noWrap/>
            <w:vAlign w:val="center"/>
          </w:tcPr>
          <w:p w14:paraId="7152F5A1"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0.3794</w:t>
            </w:r>
          </w:p>
        </w:tc>
        <w:tc>
          <w:tcPr>
            <w:tcW w:w="0" w:type="auto"/>
            <w:tcBorders>
              <w:top w:val="nil"/>
              <w:left w:val="nil"/>
              <w:bottom w:val="nil"/>
              <w:right w:val="nil"/>
            </w:tcBorders>
            <w:shd w:val="clear" w:color="auto" w:fill="auto"/>
            <w:noWrap/>
            <w:vAlign w:val="center"/>
          </w:tcPr>
          <w:p w14:paraId="16A6066B"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1.4614</w:t>
            </w:r>
          </w:p>
        </w:tc>
        <w:tc>
          <w:tcPr>
            <w:tcW w:w="0" w:type="auto"/>
            <w:tcBorders>
              <w:top w:val="nil"/>
              <w:left w:val="nil"/>
              <w:bottom w:val="nil"/>
              <w:right w:val="nil"/>
            </w:tcBorders>
            <w:shd w:val="clear" w:color="auto" w:fill="auto"/>
            <w:noWrap/>
            <w:vAlign w:val="center"/>
          </w:tcPr>
          <w:p w14:paraId="7A51041E"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(1.1392)</w:t>
            </w:r>
          </w:p>
        </w:tc>
        <w:tc>
          <w:tcPr>
            <w:tcW w:w="0" w:type="auto"/>
            <w:tcBorders>
              <w:top w:val="nil"/>
              <w:left w:val="nil"/>
              <w:bottom w:val="nil"/>
              <w:right w:val="nil"/>
            </w:tcBorders>
            <w:shd w:val="clear" w:color="auto" w:fill="auto"/>
            <w:noWrap/>
            <w:vAlign w:val="center"/>
          </w:tcPr>
          <w:p w14:paraId="1117FD85"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0.3738</w:t>
            </w:r>
          </w:p>
        </w:tc>
        <w:tc>
          <w:tcPr>
            <w:tcW w:w="0" w:type="auto"/>
            <w:tcBorders>
              <w:top w:val="nil"/>
              <w:left w:val="nil"/>
              <w:bottom w:val="nil"/>
              <w:right w:val="nil"/>
            </w:tcBorders>
            <w:shd w:val="clear" w:color="auto" w:fill="auto"/>
            <w:noWrap/>
            <w:vAlign w:val="center"/>
          </w:tcPr>
          <w:p w14:paraId="60658C4A"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1.4533</w:t>
            </w:r>
          </w:p>
        </w:tc>
        <w:tc>
          <w:tcPr>
            <w:tcW w:w="0" w:type="auto"/>
            <w:tcBorders>
              <w:top w:val="nil"/>
              <w:left w:val="nil"/>
              <w:bottom w:val="nil"/>
              <w:right w:val="nil"/>
            </w:tcBorders>
            <w:shd w:val="clear" w:color="auto" w:fill="auto"/>
            <w:noWrap/>
            <w:vAlign w:val="center"/>
          </w:tcPr>
          <w:p w14:paraId="32C3DCD5"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(1.1262)</w:t>
            </w:r>
          </w:p>
        </w:tc>
        <w:tc>
          <w:tcPr>
            <w:tcW w:w="0" w:type="auto"/>
            <w:tcBorders>
              <w:top w:val="nil"/>
              <w:left w:val="nil"/>
              <w:bottom w:val="nil"/>
              <w:right w:val="nil"/>
            </w:tcBorders>
            <w:shd w:val="clear" w:color="auto" w:fill="auto"/>
            <w:noWrap/>
            <w:vAlign w:val="center"/>
          </w:tcPr>
          <w:p w14:paraId="1EFBAB13"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0.4057</w:t>
            </w:r>
          </w:p>
        </w:tc>
        <w:tc>
          <w:tcPr>
            <w:tcW w:w="0" w:type="auto"/>
            <w:tcBorders>
              <w:top w:val="nil"/>
              <w:left w:val="nil"/>
              <w:bottom w:val="nil"/>
              <w:right w:val="nil"/>
            </w:tcBorders>
            <w:shd w:val="clear" w:color="auto" w:fill="auto"/>
            <w:noWrap/>
            <w:vAlign w:val="center"/>
          </w:tcPr>
          <w:p w14:paraId="37DECD9F"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1.5003</w:t>
            </w:r>
          </w:p>
        </w:tc>
        <w:tc>
          <w:tcPr>
            <w:tcW w:w="0" w:type="auto"/>
            <w:tcBorders>
              <w:top w:val="nil"/>
              <w:left w:val="nil"/>
              <w:bottom w:val="nil"/>
              <w:right w:val="nil"/>
            </w:tcBorders>
            <w:shd w:val="clear" w:color="auto" w:fill="auto"/>
            <w:noWrap/>
            <w:vAlign w:val="center"/>
          </w:tcPr>
          <w:p w14:paraId="79831ECE"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(1.2324)</w:t>
            </w:r>
          </w:p>
        </w:tc>
      </w:tr>
      <w:tr w:rsidR="0065555D" w:rsidRPr="00A41CD4" w14:paraId="3B08B6BB" w14:textId="77777777" w:rsidTr="0094653F">
        <w:trPr>
          <w:trHeight w:val="264"/>
          <w:jc w:val="center"/>
        </w:trPr>
        <w:tc>
          <w:tcPr>
            <w:tcW w:w="0" w:type="auto"/>
            <w:tcBorders>
              <w:top w:val="nil"/>
              <w:left w:val="nil"/>
              <w:bottom w:val="nil"/>
              <w:right w:val="nil"/>
            </w:tcBorders>
            <w:shd w:val="clear" w:color="auto" w:fill="auto"/>
            <w:noWrap/>
            <w:vAlign w:val="center"/>
            <w:hideMark/>
          </w:tcPr>
          <w:p w14:paraId="13988950" w14:textId="77777777" w:rsidR="0065555D" w:rsidRPr="00A41CD4" w:rsidRDefault="0065555D" w:rsidP="0094653F">
            <w:pPr>
              <w:spacing w:after="0" w:line="240" w:lineRule="auto"/>
              <w:jc w:val="left"/>
              <w:rPr>
                <w:rFonts w:eastAsia="Times New Roman" w:cs="Times New Roman"/>
                <w:color w:val="000000"/>
                <w:sz w:val="18"/>
                <w:szCs w:val="18"/>
              </w:rPr>
            </w:pPr>
            <w:r w:rsidRPr="00A41CD4">
              <w:rPr>
                <w:rFonts w:eastAsia="Times New Roman" w:cs="Times New Roman"/>
                <w:color w:val="000000"/>
                <w:sz w:val="18"/>
                <w:szCs w:val="18"/>
              </w:rPr>
              <w:t>Years to Maturity</w:t>
            </w:r>
          </w:p>
        </w:tc>
        <w:tc>
          <w:tcPr>
            <w:tcW w:w="0" w:type="auto"/>
            <w:tcBorders>
              <w:top w:val="nil"/>
              <w:left w:val="nil"/>
              <w:bottom w:val="nil"/>
              <w:right w:val="nil"/>
            </w:tcBorders>
            <w:shd w:val="clear" w:color="auto" w:fill="auto"/>
            <w:noWrap/>
            <w:vAlign w:val="center"/>
          </w:tcPr>
          <w:p w14:paraId="5DD87743"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-0.2063</w:t>
            </w:r>
          </w:p>
        </w:tc>
        <w:tc>
          <w:tcPr>
            <w:tcW w:w="0" w:type="auto"/>
            <w:tcBorders>
              <w:top w:val="nil"/>
              <w:left w:val="nil"/>
              <w:bottom w:val="nil"/>
              <w:right w:val="nil"/>
            </w:tcBorders>
            <w:shd w:val="clear" w:color="auto" w:fill="auto"/>
            <w:noWrap/>
            <w:vAlign w:val="center"/>
          </w:tcPr>
          <w:p w14:paraId="54641DD4"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0.8136</w:t>
            </w:r>
          </w:p>
        </w:tc>
        <w:tc>
          <w:tcPr>
            <w:tcW w:w="0" w:type="auto"/>
            <w:tcBorders>
              <w:top w:val="nil"/>
              <w:left w:val="nil"/>
              <w:bottom w:val="nil"/>
              <w:right w:val="nil"/>
            </w:tcBorders>
            <w:shd w:val="clear" w:color="auto" w:fill="auto"/>
            <w:noWrap/>
            <w:vAlign w:val="center"/>
          </w:tcPr>
          <w:p w14:paraId="1FD93BB7"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(-7.5483)</w:t>
            </w:r>
          </w:p>
        </w:tc>
        <w:tc>
          <w:tcPr>
            <w:tcW w:w="0" w:type="auto"/>
            <w:tcBorders>
              <w:top w:val="nil"/>
              <w:left w:val="nil"/>
              <w:bottom w:val="nil"/>
              <w:right w:val="nil"/>
            </w:tcBorders>
            <w:shd w:val="clear" w:color="auto" w:fill="auto"/>
            <w:noWrap/>
            <w:vAlign w:val="center"/>
          </w:tcPr>
          <w:p w14:paraId="6BD48BF5"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-0.2042</w:t>
            </w:r>
          </w:p>
        </w:tc>
        <w:tc>
          <w:tcPr>
            <w:tcW w:w="0" w:type="auto"/>
            <w:tcBorders>
              <w:top w:val="nil"/>
              <w:left w:val="nil"/>
              <w:bottom w:val="nil"/>
              <w:right w:val="nil"/>
            </w:tcBorders>
            <w:shd w:val="clear" w:color="auto" w:fill="auto"/>
            <w:noWrap/>
            <w:vAlign w:val="center"/>
          </w:tcPr>
          <w:p w14:paraId="540A23D9"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0.8153</w:t>
            </w:r>
          </w:p>
        </w:tc>
        <w:tc>
          <w:tcPr>
            <w:tcW w:w="0" w:type="auto"/>
            <w:tcBorders>
              <w:top w:val="nil"/>
              <w:left w:val="nil"/>
              <w:bottom w:val="nil"/>
              <w:right w:val="nil"/>
            </w:tcBorders>
            <w:shd w:val="clear" w:color="auto" w:fill="auto"/>
            <w:noWrap/>
            <w:vAlign w:val="center"/>
          </w:tcPr>
          <w:p w14:paraId="240E20C3"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(-7.5666)</w:t>
            </w:r>
          </w:p>
        </w:tc>
        <w:tc>
          <w:tcPr>
            <w:tcW w:w="0" w:type="auto"/>
            <w:tcBorders>
              <w:top w:val="nil"/>
              <w:left w:val="nil"/>
              <w:bottom w:val="nil"/>
              <w:right w:val="nil"/>
            </w:tcBorders>
            <w:shd w:val="clear" w:color="auto" w:fill="auto"/>
            <w:noWrap/>
            <w:vAlign w:val="center"/>
          </w:tcPr>
          <w:p w14:paraId="4D0BA604"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-0.2403</w:t>
            </w:r>
          </w:p>
        </w:tc>
        <w:tc>
          <w:tcPr>
            <w:tcW w:w="0" w:type="auto"/>
            <w:tcBorders>
              <w:top w:val="nil"/>
              <w:left w:val="nil"/>
              <w:bottom w:val="nil"/>
              <w:right w:val="nil"/>
            </w:tcBorders>
            <w:shd w:val="clear" w:color="auto" w:fill="auto"/>
            <w:noWrap/>
            <w:vAlign w:val="center"/>
          </w:tcPr>
          <w:p w14:paraId="52ECC4BD"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0.7864</w:t>
            </w:r>
          </w:p>
        </w:tc>
        <w:tc>
          <w:tcPr>
            <w:tcW w:w="0" w:type="auto"/>
            <w:tcBorders>
              <w:top w:val="nil"/>
              <w:left w:val="nil"/>
              <w:bottom w:val="nil"/>
              <w:right w:val="nil"/>
            </w:tcBorders>
            <w:shd w:val="clear" w:color="auto" w:fill="auto"/>
            <w:noWrap/>
            <w:vAlign w:val="center"/>
          </w:tcPr>
          <w:p w14:paraId="604465F8"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(-9.4575)</w:t>
            </w:r>
          </w:p>
        </w:tc>
      </w:tr>
      <w:tr w:rsidR="0065555D" w:rsidRPr="00A41CD4" w14:paraId="418457B9" w14:textId="77777777" w:rsidTr="0094653F">
        <w:trPr>
          <w:trHeight w:val="264"/>
          <w:jc w:val="center"/>
        </w:trPr>
        <w:tc>
          <w:tcPr>
            <w:tcW w:w="0" w:type="auto"/>
            <w:tcBorders>
              <w:top w:val="nil"/>
              <w:left w:val="nil"/>
              <w:bottom w:val="nil"/>
              <w:right w:val="nil"/>
            </w:tcBorders>
            <w:shd w:val="clear" w:color="auto" w:fill="auto"/>
            <w:noWrap/>
            <w:vAlign w:val="center"/>
            <w:hideMark/>
          </w:tcPr>
          <w:p w14:paraId="58570364" w14:textId="77777777" w:rsidR="0065555D" w:rsidRPr="00A41CD4" w:rsidRDefault="0065555D" w:rsidP="0094653F">
            <w:pPr>
              <w:spacing w:line="240" w:lineRule="auto"/>
              <w:jc w:val="left"/>
              <w:rPr>
                <w:rFonts w:eastAsia="MS Mincho" w:cs="Times New Roman"/>
                <w:sz w:val="18"/>
                <w:szCs w:val="18"/>
              </w:rPr>
            </w:pPr>
            <w:r w:rsidRPr="00A41CD4">
              <w:rPr>
                <w:rFonts w:eastAsia="MS Mincho" w:cs="Times New Roman"/>
                <w:sz w:val="18"/>
                <w:szCs w:val="18"/>
              </w:rPr>
              <w:t>DSCR</w:t>
            </w:r>
          </w:p>
        </w:tc>
        <w:tc>
          <w:tcPr>
            <w:tcW w:w="0" w:type="auto"/>
            <w:tcBorders>
              <w:top w:val="nil"/>
              <w:left w:val="nil"/>
              <w:bottom w:val="nil"/>
              <w:right w:val="nil"/>
            </w:tcBorders>
            <w:shd w:val="clear" w:color="auto" w:fill="auto"/>
            <w:noWrap/>
            <w:vAlign w:val="center"/>
          </w:tcPr>
          <w:p w14:paraId="1D29FCE8"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-0.0550</w:t>
            </w:r>
          </w:p>
        </w:tc>
        <w:tc>
          <w:tcPr>
            <w:tcW w:w="0" w:type="auto"/>
            <w:tcBorders>
              <w:top w:val="nil"/>
              <w:left w:val="nil"/>
              <w:bottom w:val="nil"/>
              <w:right w:val="nil"/>
            </w:tcBorders>
            <w:shd w:val="clear" w:color="auto" w:fill="auto"/>
            <w:noWrap/>
            <w:vAlign w:val="center"/>
          </w:tcPr>
          <w:p w14:paraId="6ED80122"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0.9465</w:t>
            </w:r>
          </w:p>
        </w:tc>
        <w:tc>
          <w:tcPr>
            <w:tcW w:w="0" w:type="auto"/>
            <w:tcBorders>
              <w:top w:val="nil"/>
              <w:left w:val="nil"/>
              <w:bottom w:val="nil"/>
              <w:right w:val="nil"/>
            </w:tcBorders>
            <w:shd w:val="clear" w:color="auto" w:fill="auto"/>
            <w:noWrap/>
            <w:vAlign w:val="center"/>
          </w:tcPr>
          <w:p w14:paraId="6FB05FAC"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(-2.6365)</w:t>
            </w:r>
          </w:p>
        </w:tc>
        <w:tc>
          <w:tcPr>
            <w:tcW w:w="0" w:type="auto"/>
            <w:tcBorders>
              <w:top w:val="nil"/>
              <w:left w:val="nil"/>
              <w:bottom w:val="nil"/>
              <w:right w:val="nil"/>
            </w:tcBorders>
            <w:shd w:val="clear" w:color="auto" w:fill="auto"/>
            <w:noWrap/>
            <w:vAlign w:val="center"/>
          </w:tcPr>
          <w:p w14:paraId="5C534018"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-0.0544</w:t>
            </w:r>
          </w:p>
        </w:tc>
        <w:tc>
          <w:tcPr>
            <w:tcW w:w="0" w:type="auto"/>
            <w:tcBorders>
              <w:top w:val="nil"/>
              <w:left w:val="nil"/>
              <w:bottom w:val="nil"/>
              <w:right w:val="nil"/>
            </w:tcBorders>
            <w:shd w:val="clear" w:color="auto" w:fill="auto"/>
            <w:noWrap/>
            <w:vAlign w:val="center"/>
          </w:tcPr>
          <w:p w14:paraId="00CEC73E"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0.9471</w:t>
            </w:r>
          </w:p>
        </w:tc>
        <w:tc>
          <w:tcPr>
            <w:tcW w:w="0" w:type="auto"/>
            <w:tcBorders>
              <w:top w:val="nil"/>
              <w:left w:val="nil"/>
              <w:bottom w:val="nil"/>
              <w:right w:val="nil"/>
            </w:tcBorders>
            <w:shd w:val="clear" w:color="auto" w:fill="auto"/>
            <w:noWrap/>
            <w:vAlign w:val="center"/>
          </w:tcPr>
          <w:p w14:paraId="17BE45EE"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(-2.5778)</w:t>
            </w:r>
          </w:p>
        </w:tc>
        <w:tc>
          <w:tcPr>
            <w:tcW w:w="0" w:type="auto"/>
            <w:tcBorders>
              <w:top w:val="nil"/>
              <w:left w:val="nil"/>
              <w:bottom w:val="nil"/>
              <w:right w:val="nil"/>
            </w:tcBorders>
            <w:shd w:val="clear" w:color="auto" w:fill="auto"/>
            <w:noWrap/>
            <w:vAlign w:val="center"/>
          </w:tcPr>
          <w:p w14:paraId="798D7BF9"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-0.0750</w:t>
            </w:r>
          </w:p>
        </w:tc>
        <w:tc>
          <w:tcPr>
            <w:tcW w:w="0" w:type="auto"/>
            <w:tcBorders>
              <w:top w:val="nil"/>
              <w:left w:val="nil"/>
              <w:bottom w:val="nil"/>
              <w:right w:val="nil"/>
            </w:tcBorders>
            <w:shd w:val="clear" w:color="auto" w:fill="auto"/>
            <w:noWrap/>
            <w:vAlign w:val="center"/>
          </w:tcPr>
          <w:p w14:paraId="43D9F3DC"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0.9278</w:t>
            </w:r>
          </w:p>
        </w:tc>
        <w:tc>
          <w:tcPr>
            <w:tcW w:w="0" w:type="auto"/>
            <w:tcBorders>
              <w:top w:val="nil"/>
              <w:left w:val="nil"/>
              <w:bottom w:val="nil"/>
              <w:right w:val="nil"/>
            </w:tcBorders>
            <w:shd w:val="clear" w:color="auto" w:fill="auto"/>
            <w:noWrap/>
            <w:vAlign w:val="center"/>
          </w:tcPr>
          <w:p w14:paraId="1B6D0C7A"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(-3.6289)</w:t>
            </w:r>
          </w:p>
        </w:tc>
      </w:tr>
      <w:tr w:rsidR="0065555D" w:rsidRPr="00A41CD4" w14:paraId="71C9B6B2" w14:textId="77777777" w:rsidTr="0094653F">
        <w:trPr>
          <w:trHeight w:val="264"/>
          <w:jc w:val="center"/>
        </w:trPr>
        <w:tc>
          <w:tcPr>
            <w:tcW w:w="0" w:type="auto"/>
            <w:tcBorders>
              <w:top w:val="nil"/>
              <w:left w:val="nil"/>
              <w:bottom w:val="nil"/>
              <w:right w:val="nil"/>
            </w:tcBorders>
            <w:shd w:val="clear" w:color="auto" w:fill="auto"/>
            <w:noWrap/>
            <w:vAlign w:val="center"/>
            <w:hideMark/>
          </w:tcPr>
          <w:p w14:paraId="0D261EEA" w14:textId="77777777" w:rsidR="0065555D" w:rsidRPr="00A41CD4" w:rsidRDefault="0065555D" w:rsidP="0094653F">
            <w:pPr>
              <w:spacing w:line="240" w:lineRule="auto"/>
              <w:jc w:val="left"/>
              <w:rPr>
                <w:rFonts w:eastAsia="MS Mincho" w:cs="Times New Roman"/>
                <w:sz w:val="18"/>
                <w:szCs w:val="18"/>
              </w:rPr>
            </w:pPr>
            <w:r w:rsidRPr="00A41CD4">
              <w:rPr>
                <w:rFonts w:eastAsia="MS Mincho" w:cs="Times New Roman"/>
                <w:sz w:val="18"/>
                <w:szCs w:val="18"/>
              </w:rPr>
              <w:t>Maturity Matched Treasury Rate</w:t>
            </w:r>
          </w:p>
        </w:tc>
        <w:tc>
          <w:tcPr>
            <w:tcW w:w="0" w:type="auto"/>
            <w:tcBorders>
              <w:top w:val="nil"/>
              <w:left w:val="nil"/>
              <w:bottom w:val="nil"/>
              <w:right w:val="nil"/>
            </w:tcBorders>
            <w:shd w:val="clear" w:color="auto" w:fill="auto"/>
            <w:noWrap/>
            <w:vAlign w:val="center"/>
          </w:tcPr>
          <w:p w14:paraId="0A7CAE29"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-0.1446</w:t>
            </w:r>
          </w:p>
        </w:tc>
        <w:tc>
          <w:tcPr>
            <w:tcW w:w="0" w:type="auto"/>
            <w:tcBorders>
              <w:top w:val="nil"/>
              <w:left w:val="nil"/>
              <w:bottom w:val="nil"/>
              <w:right w:val="nil"/>
            </w:tcBorders>
            <w:shd w:val="clear" w:color="auto" w:fill="auto"/>
            <w:noWrap/>
            <w:vAlign w:val="center"/>
          </w:tcPr>
          <w:p w14:paraId="6C320261"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0.8654</w:t>
            </w:r>
          </w:p>
        </w:tc>
        <w:tc>
          <w:tcPr>
            <w:tcW w:w="0" w:type="auto"/>
            <w:tcBorders>
              <w:top w:val="nil"/>
              <w:left w:val="nil"/>
              <w:bottom w:val="nil"/>
              <w:right w:val="nil"/>
            </w:tcBorders>
            <w:shd w:val="clear" w:color="auto" w:fill="auto"/>
            <w:noWrap/>
            <w:vAlign w:val="center"/>
          </w:tcPr>
          <w:p w14:paraId="559238E0"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(-1.1951)</w:t>
            </w:r>
          </w:p>
        </w:tc>
        <w:tc>
          <w:tcPr>
            <w:tcW w:w="0" w:type="auto"/>
            <w:tcBorders>
              <w:top w:val="nil"/>
              <w:left w:val="nil"/>
              <w:bottom w:val="nil"/>
              <w:right w:val="nil"/>
            </w:tcBorders>
            <w:shd w:val="clear" w:color="auto" w:fill="auto"/>
            <w:noWrap/>
            <w:vAlign w:val="center"/>
          </w:tcPr>
          <w:p w14:paraId="659CCA1B"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-0.1436</w:t>
            </w:r>
          </w:p>
        </w:tc>
        <w:tc>
          <w:tcPr>
            <w:tcW w:w="0" w:type="auto"/>
            <w:tcBorders>
              <w:top w:val="nil"/>
              <w:left w:val="nil"/>
              <w:bottom w:val="nil"/>
              <w:right w:val="nil"/>
            </w:tcBorders>
            <w:shd w:val="clear" w:color="auto" w:fill="auto"/>
            <w:noWrap/>
            <w:vAlign w:val="center"/>
          </w:tcPr>
          <w:p w14:paraId="4B025AC1"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0.8662</w:t>
            </w:r>
          </w:p>
        </w:tc>
        <w:tc>
          <w:tcPr>
            <w:tcW w:w="0" w:type="auto"/>
            <w:tcBorders>
              <w:top w:val="nil"/>
              <w:left w:val="nil"/>
              <w:bottom w:val="nil"/>
              <w:right w:val="nil"/>
            </w:tcBorders>
            <w:shd w:val="clear" w:color="auto" w:fill="auto"/>
            <w:noWrap/>
            <w:vAlign w:val="center"/>
          </w:tcPr>
          <w:p w14:paraId="34607C00"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(-1.1858)</w:t>
            </w:r>
          </w:p>
        </w:tc>
        <w:tc>
          <w:tcPr>
            <w:tcW w:w="0" w:type="auto"/>
            <w:tcBorders>
              <w:top w:val="nil"/>
              <w:left w:val="nil"/>
              <w:bottom w:val="nil"/>
              <w:right w:val="nil"/>
            </w:tcBorders>
            <w:shd w:val="clear" w:color="auto" w:fill="auto"/>
            <w:noWrap/>
            <w:vAlign w:val="center"/>
          </w:tcPr>
          <w:p w14:paraId="7481D653"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-0.1310</w:t>
            </w:r>
          </w:p>
        </w:tc>
        <w:tc>
          <w:tcPr>
            <w:tcW w:w="0" w:type="auto"/>
            <w:tcBorders>
              <w:top w:val="nil"/>
              <w:left w:val="nil"/>
              <w:bottom w:val="nil"/>
              <w:right w:val="nil"/>
            </w:tcBorders>
            <w:shd w:val="clear" w:color="auto" w:fill="auto"/>
            <w:noWrap/>
            <w:vAlign w:val="center"/>
          </w:tcPr>
          <w:p w14:paraId="3408358C"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0.8772</w:t>
            </w:r>
          </w:p>
        </w:tc>
        <w:tc>
          <w:tcPr>
            <w:tcW w:w="0" w:type="auto"/>
            <w:tcBorders>
              <w:top w:val="nil"/>
              <w:left w:val="nil"/>
              <w:bottom w:val="nil"/>
              <w:right w:val="nil"/>
            </w:tcBorders>
            <w:shd w:val="clear" w:color="auto" w:fill="auto"/>
            <w:noWrap/>
            <w:vAlign w:val="center"/>
          </w:tcPr>
          <w:p w14:paraId="39FB1E64" w14:textId="77777777" w:rsidR="0065555D" w:rsidRPr="00A41CD4" w:rsidRDefault="0065555D" w:rsidP="0094653F">
            <w:pPr>
              <w:spacing w:line="240" w:lineRule="auto"/>
              <w:jc w:val="center"/>
              <w:rPr>
                <w:rFonts w:cs="Times New Roman"/>
                <w:sz w:val="18"/>
                <w:szCs w:val="18"/>
              </w:rPr>
            </w:pPr>
            <w:r w:rsidRPr="00A41CD4">
              <w:rPr>
                <w:rFonts w:cs="Times New Roman"/>
                <w:sz w:val="18"/>
                <w:szCs w:val="18"/>
              </w:rPr>
              <w:t>(-1.0824)</w:t>
            </w:r>
          </w:p>
        </w:tc>
      </w:tr>
      <w:tr w:rsidR="0065555D" w:rsidRPr="00A41CD4" w14:paraId="6F6AE2E1" w14:textId="77777777" w:rsidTr="0094653F">
        <w:trPr>
          <w:trHeight w:val="264"/>
          <w:jc w:val="center"/>
        </w:trPr>
        <w:tc>
          <w:tcPr>
            <w:tcW w:w="0" w:type="auto"/>
            <w:tcBorders>
              <w:top w:val="nil"/>
              <w:left w:val="nil"/>
              <w:bottom w:val="nil"/>
              <w:right w:val="nil"/>
            </w:tcBorders>
            <w:shd w:val="clear" w:color="auto" w:fill="auto"/>
            <w:noWrap/>
            <w:vAlign w:val="center"/>
            <w:hideMark/>
          </w:tcPr>
          <w:p w14:paraId="6272B8BB" w14:textId="77777777" w:rsidR="0065555D" w:rsidRPr="00A41CD4" w:rsidRDefault="0065555D" w:rsidP="0094653F">
            <w:pPr>
              <w:spacing w:after="0" w:line="240" w:lineRule="auto"/>
              <w:jc w:val="left"/>
              <w:rPr>
                <w:rFonts w:eastAsia="Times New Roman" w:cs="Times New Roman"/>
                <w:sz w:val="18"/>
                <w:szCs w:val="18"/>
              </w:rPr>
            </w:pPr>
          </w:p>
        </w:tc>
        <w:tc>
          <w:tcPr>
            <w:tcW w:w="0" w:type="auto"/>
            <w:tcBorders>
              <w:top w:val="nil"/>
              <w:left w:val="nil"/>
              <w:bottom w:val="nil"/>
              <w:right w:val="nil"/>
            </w:tcBorders>
            <w:shd w:val="clear" w:color="auto" w:fill="auto"/>
            <w:noWrap/>
            <w:vAlign w:val="center"/>
            <w:hideMark/>
          </w:tcPr>
          <w:p w14:paraId="6625D7B1" w14:textId="77777777" w:rsidR="0065555D" w:rsidRPr="00A41CD4" w:rsidRDefault="0065555D" w:rsidP="0094653F">
            <w:pPr>
              <w:spacing w:after="0" w:line="240" w:lineRule="auto"/>
              <w:jc w:val="center"/>
              <w:rPr>
                <w:rFonts w:eastAsia="Times New Roman" w:cs="Times New Roman"/>
                <w:sz w:val="18"/>
                <w:szCs w:val="18"/>
              </w:rPr>
            </w:pPr>
          </w:p>
        </w:tc>
        <w:tc>
          <w:tcPr>
            <w:tcW w:w="0" w:type="auto"/>
            <w:tcBorders>
              <w:top w:val="nil"/>
              <w:left w:val="nil"/>
              <w:bottom w:val="nil"/>
              <w:right w:val="nil"/>
            </w:tcBorders>
            <w:shd w:val="clear" w:color="auto" w:fill="auto"/>
            <w:noWrap/>
            <w:vAlign w:val="center"/>
            <w:hideMark/>
          </w:tcPr>
          <w:p w14:paraId="54D08182" w14:textId="77777777" w:rsidR="0065555D" w:rsidRPr="00A41CD4" w:rsidRDefault="0065555D" w:rsidP="0094653F">
            <w:pPr>
              <w:spacing w:after="0" w:line="240" w:lineRule="auto"/>
              <w:jc w:val="center"/>
              <w:rPr>
                <w:rFonts w:eastAsia="Times New Roman" w:cs="Times New Roman"/>
                <w:sz w:val="18"/>
                <w:szCs w:val="18"/>
              </w:rPr>
            </w:pPr>
          </w:p>
        </w:tc>
        <w:tc>
          <w:tcPr>
            <w:tcW w:w="0" w:type="auto"/>
            <w:tcBorders>
              <w:top w:val="nil"/>
              <w:left w:val="nil"/>
              <w:bottom w:val="nil"/>
              <w:right w:val="nil"/>
            </w:tcBorders>
            <w:shd w:val="clear" w:color="auto" w:fill="auto"/>
            <w:noWrap/>
            <w:vAlign w:val="center"/>
            <w:hideMark/>
          </w:tcPr>
          <w:p w14:paraId="5E053AC1" w14:textId="77777777" w:rsidR="0065555D" w:rsidRPr="00A41CD4" w:rsidRDefault="0065555D" w:rsidP="0094653F">
            <w:pPr>
              <w:spacing w:after="0" w:line="240" w:lineRule="auto"/>
              <w:jc w:val="center"/>
              <w:rPr>
                <w:rFonts w:eastAsia="Times New Roman" w:cs="Times New Roman"/>
                <w:sz w:val="18"/>
                <w:szCs w:val="18"/>
              </w:rPr>
            </w:pPr>
          </w:p>
        </w:tc>
        <w:tc>
          <w:tcPr>
            <w:tcW w:w="0" w:type="auto"/>
            <w:tcBorders>
              <w:top w:val="nil"/>
              <w:left w:val="nil"/>
              <w:bottom w:val="nil"/>
              <w:right w:val="nil"/>
            </w:tcBorders>
            <w:shd w:val="clear" w:color="auto" w:fill="auto"/>
            <w:noWrap/>
            <w:vAlign w:val="center"/>
            <w:hideMark/>
          </w:tcPr>
          <w:p w14:paraId="09ABF8D9" w14:textId="77777777" w:rsidR="0065555D" w:rsidRPr="00A41CD4" w:rsidRDefault="0065555D" w:rsidP="0094653F">
            <w:pPr>
              <w:spacing w:after="0" w:line="240" w:lineRule="auto"/>
              <w:jc w:val="center"/>
              <w:rPr>
                <w:rFonts w:eastAsia="Times New Roman" w:cs="Times New Roman"/>
                <w:sz w:val="18"/>
                <w:szCs w:val="18"/>
              </w:rPr>
            </w:pPr>
          </w:p>
        </w:tc>
        <w:tc>
          <w:tcPr>
            <w:tcW w:w="0" w:type="auto"/>
            <w:tcBorders>
              <w:top w:val="nil"/>
              <w:left w:val="nil"/>
              <w:bottom w:val="nil"/>
              <w:right w:val="nil"/>
            </w:tcBorders>
            <w:shd w:val="clear" w:color="auto" w:fill="auto"/>
            <w:noWrap/>
            <w:vAlign w:val="center"/>
            <w:hideMark/>
          </w:tcPr>
          <w:p w14:paraId="2576648A" w14:textId="77777777" w:rsidR="0065555D" w:rsidRPr="00A41CD4" w:rsidRDefault="0065555D" w:rsidP="0094653F">
            <w:pPr>
              <w:spacing w:after="0" w:line="240" w:lineRule="auto"/>
              <w:jc w:val="center"/>
              <w:rPr>
                <w:rFonts w:eastAsia="Times New Roman" w:cs="Times New Roman"/>
                <w:sz w:val="18"/>
                <w:szCs w:val="18"/>
              </w:rPr>
            </w:pPr>
          </w:p>
        </w:tc>
        <w:tc>
          <w:tcPr>
            <w:tcW w:w="0" w:type="auto"/>
            <w:tcBorders>
              <w:top w:val="nil"/>
              <w:left w:val="nil"/>
              <w:bottom w:val="nil"/>
              <w:right w:val="nil"/>
            </w:tcBorders>
            <w:shd w:val="clear" w:color="auto" w:fill="auto"/>
            <w:noWrap/>
            <w:vAlign w:val="center"/>
            <w:hideMark/>
          </w:tcPr>
          <w:p w14:paraId="49FBD574" w14:textId="77777777" w:rsidR="0065555D" w:rsidRPr="00A41CD4" w:rsidRDefault="0065555D" w:rsidP="0094653F">
            <w:pPr>
              <w:spacing w:after="0" w:line="240" w:lineRule="auto"/>
              <w:jc w:val="center"/>
              <w:rPr>
                <w:rFonts w:eastAsia="Times New Roman" w:cs="Times New Roman"/>
                <w:sz w:val="18"/>
                <w:szCs w:val="18"/>
              </w:rPr>
            </w:pPr>
          </w:p>
        </w:tc>
        <w:tc>
          <w:tcPr>
            <w:tcW w:w="0" w:type="auto"/>
            <w:tcBorders>
              <w:top w:val="nil"/>
              <w:left w:val="nil"/>
              <w:bottom w:val="nil"/>
              <w:right w:val="nil"/>
            </w:tcBorders>
            <w:shd w:val="clear" w:color="auto" w:fill="auto"/>
            <w:noWrap/>
            <w:vAlign w:val="center"/>
            <w:hideMark/>
          </w:tcPr>
          <w:p w14:paraId="5D389C61" w14:textId="77777777" w:rsidR="0065555D" w:rsidRPr="00A41CD4" w:rsidRDefault="0065555D" w:rsidP="0094653F">
            <w:pPr>
              <w:spacing w:after="0" w:line="240" w:lineRule="auto"/>
              <w:jc w:val="center"/>
              <w:rPr>
                <w:rFonts w:eastAsia="Times New Roman" w:cs="Times New Roman"/>
                <w:sz w:val="18"/>
                <w:szCs w:val="18"/>
              </w:rPr>
            </w:pPr>
          </w:p>
        </w:tc>
        <w:tc>
          <w:tcPr>
            <w:tcW w:w="0" w:type="auto"/>
            <w:tcBorders>
              <w:top w:val="nil"/>
              <w:left w:val="nil"/>
              <w:bottom w:val="nil"/>
              <w:right w:val="nil"/>
            </w:tcBorders>
            <w:shd w:val="clear" w:color="auto" w:fill="auto"/>
            <w:noWrap/>
            <w:vAlign w:val="center"/>
            <w:hideMark/>
          </w:tcPr>
          <w:p w14:paraId="5FD41BE3" w14:textId="77777777" w:rsidR="0065555D" w:rsidRPr="00A41CD4" w:rsidRDefault="0065555D" w:rsidP="0094653F">
            <w:pPr>
              <w:spacing w:after="0" w:line="240" w:lineRule="auto"/>
              <w:jc w:val="center"/>
              <w:rPr>
                <w:rFonts w:eastAsia="Times New Roman" w:cs="Times New Roman"/>
                <w:sz w:val="18"/>
                <w:szCs w:val="18"/>
              </w:rPr>
            </w:pPr>
          </w:p>
        </w:tc>
        <w:tc>
          <w:tcPr>
            <w:tcW w:w="0" w:type="auto"/>
            <w:tcBorders>
              <w:top w:val="nil"/>
              <w:left w:val="nil"/>
              <w:bottom w:val="nil"/>
              <w:right w:val="nil"/>
            </w:tcBorders>
            <w:shd w:val="clear" w:color="auto" w:fill="auto"/>
            <w:noWrap/>
            <w:vAlign w:val="center"/>
            <w:hideMark/>
          </w:tcPr>
          <w:p w14:paraId="673ECDD2" w14:textId="77777777" w:rsidR="0065555D" w:rsidRPr="00A41CD4" w:rsidRDefault="0065555D" w:rsidP="0094653F">
            <w:pPr>
              <w:spacing w:after="0" w:line="240" w:lineRule="auto"/>
              <w:jc w:val="center"/>
              <w:rPr>
                <w:rFonts w:eastAsia="Times New Roman" w:cs="Times New Roman"/>
                <w:sz w:val="18"/>
                <w:szCs w:val="18"/>
              </w:rPr>
            </w:pPr>
          </w:p>
        </w:tc>
      </w:tr>
      <w:tr w:rsidR="0065555D" w:rsidRPr="00A41CD4" w14:paraId="7A07D223" w14:textId="77777777" w:rsidTr="0094653F">
        <w:trPr>
          <w:trHeight w:val="264"/>
          <w:jc w:val="center"/>
        </w:trPr>
        <w:tc>
          <w:tcPr>
            <w:tcW w:w="0" w:type="auto"/>
            <w:tcBorders>
              <w:top w:val="nil"/>
              <w:left w:val="nil"/>
              <w:bottom w:val="nil"/>
              <w:right w:val="nil"/>
            </w:tcBorders>
            <w:shd w:val="clear" w:color="auto" w:fill="auto"/>
            <w:noWrap/>
            <w:vAlign w:val="center"/>
            <w:hideMark/>
          </w:tcPr>
          <w:p w14:paraId="728EB9A9" w14:textId="77777777" w:rsidR="0065555D" w:rsidRPr="00A41CD4" w:rsidRDefault="0065555D" w:rsidP="0094653F">
            <w:pPr>
              <w:spacing w:after="0" w:line="240" w:lineRule="auto"/>
              <w:jc w:val="left"/>
              <w:rPr>
                <w:rFonts w:eastAsia="Times New Roman" w:cs="Times New Roman"/>
                <w:sz w:val="18"/>
                <w:szCs w:val="18"/>
              </w:rPr>
            </w:pPr>
            <w:r w:rsidRPr="00A41CD4">
              <w:rPr>
                <w:rFonts w:eastAsia="Times New Roman" w:cs="Times New Roman"/>
                <w:sz w:val="18"/>
                <w:szCs w:val="18"/>
              </w:rPr>
              <w:t>N</w:t>
            </w:r>
          </w:p>
        </w:tc>
        <w:tc>
          <w:tcPr>
            <w:tcW w:w="0" w:type="auto"/>
            <w:gridSpan w:val="3"/>
            <w:tcBorders>
              <w:top w:val="nil"/>
              <w:left w:val="nil"/>
              <w:bottom w:val="nil"/>
              <w:right w:val="nil"/>
            </w:tcBorders>
            <w:shd w:val="clear" w:color="auto" w:fill="auto"/>
            <w:noWrap/>
            <w:vAlign w:val="center"/>
          </w:tcPr>
          <w:p w14:paraId="68758632" w14:textId="77777777" w:rsidR="0065555D" w:rsidRPr="00A41CD4" w:rsidRDefault="0065555D" w:rsidP="0094653F">
            <w:pPr>
              <w:spacing w:after="0" w:line="240" w:lineRule="auto"/>
              <w:jc w:val="center"/>
              <w:rPr>
                <w:rFonts w:eastAsia="Times New Roman" w:cs="Times New Roman"/>
                <w:sz w:val="18"/>
                <w:szCs w:val="18"/>
              </w:rPr>
            </w:pPr>
            <w:r w:rsidRPr="00A41CD4">
              <w:rPr>
                <w:rFonts w:eastAsia="Times New Roman" w:cs="Times New Roman"/>
                <w:sz w:val="18"/>
                <w:szCs w:val="18"/>
              </w:rPr>
              <w:t>15,817</w:t>
            </w:r>
          </w:p>
        </w:tc>
        <w:tc>
          <w:tcPr>
            <w:tcW w:w="0" w:type="auto"/>
            <w:gridSpan w:val="3"/>
            <w:tcBorders>
              <w:top w:val="nil"/>
              <w:left w:val="nil"/>
              <w:bottom w:val="nil"/>
              <w:right w:val="nil"/>
            </w:tcBorders>
            <w:shd w:val="clear" w:color="auto" w:fill="auto"/>
            <w:noWrap/>
            <w:vAlign w:val="center"/>
          </w:tcPr>
          <w:p w14:paraId="7FAA2B77" w14:textId="77777777" w:rsidR="0065555D" w:rsidRPr="00A41CD4" w:rsidRDefault="0065555D" w:rsidP="0094653F">
            <w:pPr>
              <w:spacing w:after="0" w:line="240" w:lineRule="auto"/>
              <w:jc w:val="center"/>
              <w:rPr>
                <w:rFonts w:eastAsia="Times New Roman" w:cs="Times New Roman"/>
                <w:sz w:val="18"/>
                <w:szCs w:val="18"/>
              </w:rPr>
            </w:pPr>
            <w:r w:rsidRPr="00A41CD4">
              <w:rPr>
                <w:rFonts w:eastAsia="Times New Roman" w:cs="Times New Roman"/>
                <w:sz w:val="18"/>
                <w:szCs w:val="18"/>
              </w:rPr>
              <w:t>15,817</w:t>
            </w:r>
          </w:p>
        </w:tc>
        <w:tc>
          <w:tcPr>
            <w:tcW w:w="0" w:type="auto"/>
            <w:gridSpan w:val="3"/>
            <w:tcBorders>
              <w:top w:val="nil"/>
              <w:left w:val="nil"/>
              <w:bottom w:val="nil"/>
              <w:right w:val="nil"/>
            </w:tcBorders>
            <w:shd w:val="clear" w:color="auto" w:fill="auto"/>
            <w:noWrap/>
            <w:vAlign w:val="center"/>
          </w:tcPr>
          <w:p w14:paraId="3E52655F" w14:textId="77777777" w:rsidR="0065555D" w:rsidRPr="00A41CD4" w:rsidRDefault="0065555D" w:rsidP="0094653F">
            <w:pPr>
              <w:spacing w:after="0" w:line="240" w:lineRule="auto"/>
              <w:jc w:val="center"/>
              <w:rPr>
                <w:rFonts w:eastAsia="Times New Roman" w:cs="Times New Roman"/>
                <w:sz w:val="18"/>
                <w:szCs w:val="18"/>
              </w:rPr>
            </w:pPr>
            <w:r w:rsidRPr="00A41CD4">
              <w:rPr>
                <w:rFonts w:eastAsia="Times New Roman" w:cs="Times New Roman"/>
                <w:sz w:val="18"/>
                <w:szCs w:val="18"/>
              </w:rPr>
              <w:t>15,817</w:t>
            </w:r>
          </w:p>
        </w:tc>
      </w:tr>
      <w:tr w:rsidR="0065555D" w:rsidRPr="00A41CD4" w14:paraId="263FDE43" w14:textId="77777777" w:rsidTr="0094653F">
        <w:trPr>
          <w:trHeight w:val="264"/>
          <w:jc w:val="center"/>
        </w:trPr>
        <w:tc>
          <w:tcPr>
            <w:tcW w:w="0" w:type="auto"/>
            <w:tcBorders>
              <w:top w:val="nil"/>
              <w:left w:val="nil"/>
              <w:bottom w:val="single" w:sz="4" w:space="0" w:color="auto"/>
              <w:right w:val="nil"/>
            </w:tcBorders>
            <w:shd w:val="clear" w:color="auto" w:fill="auto"/>
            <w:noWrap/>
            <w:vAlign w:val="center"/>
            <w:hideMark/>
          </w:tcPr>
          <w:p w14:paraId="191586BF" w14:textId="77777777" w:rsidR="0065555D" w:rsidRPr="00A41CD4" w:rsidRDefault="0065555D" w:rsidP="0094653F">
            <w:pPr>
              <w:spacing w:after="0" w:line="240" w:lineRule="auto"/>
              <w:jc w:val="left"/>
              <w:rPr>
                <w:rFonts w:eastAsia="Times New Roman" w:cs="Times New Roman"/>
                <w:sz w:val="18"/>
                <w:szCs w:val="18"/>
              </w:rPr>
            </w:pPr>
            <w:r w:rsidRPr="00A41CD4">
              <w:rPr>
                <w:rFonts w:eastAsia="Times New Roman" w:cs="Times New Roman"/>
                <w:sz w:val="18"/>
                <w:szCs w:val="18"/>
              </w:rPr>
              <w:t>Pseudo R-Square</w:t>
            </w:r>
          </w:p>
        </w:tc>
        <w:tc>
          <w:tcPr>
            <w:tcW w:w="0" w:type="auto"/>
            <w:gridSpan w:val="3"/>
            <w:tcBorders>
              <w:top w:val="nil"/>
              <w:left w:val="nil"/>
              <w:bottom w:val="single" w:sz="4" w:space="0" w:color="auto"/>
              <w:right w:val="nil"/>
            </w:tcBorders>
            <w:shd w:val="clear" w:color="auto" w:fill="auto"/>
            <w:noWrap/>
            <w:vAlign w:val="center"/>
          </w:tcPr>
          <w:p w14:paraId="69DF14F1" w14:textId="77777777" w:rsidR="0065555D" w:rsidRPr="00A41CD4" w:rsidRDefault="0065555D" w:rsidP="0094653F">
            <w:pPr>
              <w:spacing w:after="0" w:line="240" w:lineRule="auto"/>
              <w:jc w:val="center"/>
              <w:rPr>
                <w:rFonts w:eastAsia="Times New Roman" w:cs="Times New Roman"/>
                <w:sz w:val="18"/>
                <w:szCs w:val="18"/>
              </w:rPr>
            </w:pPr>
            <w:r w:rsidRPr="00A41CD4">
              <w:rPr>
                <w:rFonts w:eastAsia="Times New Roman" w:cs="Times New Roman"/>
                <w:sz w:val="18"/>
                <w:szCs w:val="18"/>
              </w:rPr>
              <w:t>0.11</w:t>
            </w:r>
          </w:p>
        </w:tc>
        <w:tc>
          <w:tcPr>
            <w:tcW w:w="0" w:type="auto"/>
            <w:gridSpan w:val="3"/>
            <w:tcBorders>
              <w:top w:val="nil"/>
              <w:left w:val="nil"/>
              <w:bottom w:val="single" w:sz="4" w:space="0" w:color="auto"/>
              <w:right w:val="nil"/>
            </w:tcBorders>
            <w:shd w:val="clear" w:color="auto" w:fill="auto"/>
            <w:noWrap/>
            <w:vAlign w:val="center"/>
          </w:tcPr>
          <w:p w14:paraId="2E334D4D" w14:textId="77777777" w:rsidR="0065555D" w:rsidRPr="00A41CD4" w:rsidRDefault="0065555D" w:rsidP="0094653F">
            <w:pPr>
              <w:spacing w:after="0" w:line="240" w:lineRule="auto"/>
              <w:jc w:val="center"/>
              <w:rPr>
                <w:rFonts w:eastAsia="Times New Roman" w:cs="Times New Roman"/>
                <w:sz w:val="18"/>
                <w:szCs w:val="18"/>
              </w:rPr>
            </w:pPr>
            <w:r w:rsidRPr="00A41CD4">
              <w:rPr>
                <w:rFonts w:eastAsia="Times New Roman" w:cs="Times New Roman"/>
                <w:sz w:val="18"/>
                <w:szCs w:val="18"/>
              </w:rPr>
              <w:t>0.11</w:t>
            </w:r>
          </w:p>
        </w:tc>
        <w:tc>
          <w:tcPr>
            <w:tcW w:w="0" w:type="auto"/>
            <w:gridSpan w:val="3"/>
            <w:tcBorders>
              <w:top w:val="nil"/>
              <w:left w:val="nil"/>
              <w:bottom w:val="single" w:sz="4" w:space="0" w:color="auto"/>
              <w:right w:val="nil"/>
            </w:tcBorders>
            <w:shd w:val="clear" w:color="auto" w:fill="auto"/>
            <w:noWrap/>
            <w:vAlign w:val="center"/>
          </w:tcPr>
          <w:p w14:paraId="01293E18" w14:textId="77777777" w:rsidR="0065555D" w:rsidRPr="00A41CD4" w:rsidRDefault="0065555D" w:rsidP="0094653F">
            <w:pPr>
              <w:spacing w:after="0" w:line="240" w:lineRule="auto"/>
              <w:jc w:val="center"/>
              <w:rPr>
                <w:rFonts w:eastAsia="Times New Roman" w:cs="Times New Roman"/>
                <w:sz w:val="18"/>
                <w:szCs w:val="18"/>
              </w:rPr>
            </w:pPr>
            <w:r w:rsidRPr="00A41CD4">
              <w:rPr>
                <w:rFonts w:eastAsia="Times New Roman" w:cs="Times New Roman"/>
                <w:sz w:val="18"/>
                <w:szCs w:val="18"/>
              </w:rPr>
              <w:t>0.12</w:t>
            </w:r>
          </w:p>
        </w:tc>
      </w:tr>
    </w:tbl>
    <w:p w14:paraId="7B3E6503" w14:textId="77777777" w:rsidR="0065555D" w:rsidRDefault="0065555D" w:rsidP="00FB3903">
      <w:pPr>
        <w:spacing w:line="240" w:lineRule="auto"/>
      </w:pPr>
    </w:p>
    <w:p w14:paraId="23B62408" w14:textId="77777777" w:rsidR="0065555D" w:rsidRDefault="0065555D" w:rsidP="00FB3903">
      <w:pPr>
        <w:spacing w:line="240" w:lineRule="auto"/>
      </w:pPr>
    </w:p>
    <w:p w14:paraId="1D911369" w14:textId="77777777" w:rsidR="0065555D" w:rsidRDefault="0065555D" w:rsidP="00FB3903">
      <w:pPr>
        <w:spacing w:line="240" w:lineRule="auto"/>
      </w:pPr>
    </w:p>
    <w:p w14:paraId="61A26814" w14:textId="77777777" w:rsidR="0065555D" w:rsidRDefault="0065555D" w:rsidP="00FB3903">
      <w:pPr>
        <w:spacing w:line="240" w:lineRule="auto"/>
        <w:sectPr w:rsidR="0065555D" w:rsidSect="00FB3903">
          <w:pgSz w:w="15840" w:h="12240" w:orient="landscape"/>
          <w:pgMar w:top="1440" w:right="1440" w:bottom="1440" w:left="1440" w:header="720" w:footer="720" w:gutter="0"/>
          <w:cols w:space="720"/>
          <w:docGrid w:linePitch="360"/>
        </w:sectPr>
      </w:pPr>
    </w:p>
    <w:p w14:paraId="2E7FA54D" w14:textId="77777777" w:rsidR="0065555D" w:rsidRDefault="0065555D" w:rsidP="00FB3903">
      <w:pPr>
        <w:pStyle w:val="Caption"/>
        <w:spacing w:after="0"/>
      </w:pPr>
      <w:bookmarkStart w:id="10" w:name="_Ref413076229"/>
      <w:r>
        <w:t xml:space="preserve">Figure </w:t>
      </w:r>
      <w:r>
        <w:rPr>
          <w:noProof/>
        </w:rPr>
        <w:t>1</w:t>
      </w:r>
      <w:bookmarkEnd w:id="10"/>
      <w:r>
        <w:t>: Sample Size and Average Spreads over Time</w:t>
      </w:r>
    </w:p>
    <w:p w14:paraId="71F5533C" w14:textId="77777777" w:rsidR="0065555D" w:rsidRDefault="0065555D" w:rsidP="00FB3903">
      <w:pPr>
        <w:spacing w:line="240" w:lineRule="auto"/>
      </w:pPr>
      <w:r>
        <w:t>The figure displays the sample size and average spread of commercial mortgage loans on retail properties. The data consists of loans originated between January 1998 and March 2012.</w:t>
      </w:r>
    </w:p>
    <w:p w14:paraId="6B8723F3" w14:textId="77777777" w:rsidR="00BE4ABE" w:rsidRDefault="00BE4ABE" w:rsidP="00FB3903">
      <w:pPr>
        <w:spacing w:line="240" w:lineRule="auto"/>
      </w:pPr>
    </w:p>
    <w:p w14:paraId="3A7B048F" w14:textId="77777777" w:rsidR="0065555D" w:rsidRDefault="003938A9" w:rsidP="008D4607">
      <w:pPr>
        <w:spacing w:line="240" w:lineRule="auto"/>
        <w:jc w:val="center"/>
      </w:pPr>
      <w:r>
        <w:pict w14:anchorId="46CDEE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pt;height:359pt">
            <v:imagedata r:id="rId9" o:title="Fig1A"/>
          </v:shape>
        </w:pict>
      </w:r>
    </w:p>
    <w:p w14:paraId="1C6AAF5A" w14:textId="77777777" w:rsidR="0065555D" w:rsidRDefault="0065555D" w:rsidP="00A20CEA">
      <w:pPr>
        <w:spacing w:line="240" w:lineRule="auto"/>
        <w:jc w:val="center"/>
      </w:pPr>
    </w:p>
    <w:p w14:paraId="43D5DB86" w14:textId="77777777" w:rsidR="0065555D" w:rsidRDefault="0065555D" w:rsidP="00FB3903">
      <w:pPr>
        <w:spacing w:line="240" w:lineRule="auto"/>
        <w:sectPr w:rsidR="0065555D" w:rsidSect="00A20CEA">
          <w:pgSz w:w="12240" w:h="15840"/>
          <w:pgMar w:top="720" w:right="720" w:bottom="720" w:left="720" w:header="720" w:footer="720" w:gutter="0"/>
          <w:cols w:space="720"/>
          <w:docGrid w:linePitch="360"/>
        </w:sectPr>
      </w:pPr>
    </w:p>
    <w:p w14:paraId="7E53769F" w14:textId="77777777" w:rsidR="0065555D" w:rsidRDefault="0065555D" w:rsidP="00FB3903">
      <w:pPr>
        <w:pStyle w:val="Caption"/>
        <w:spacing w:after="0"/>
      </w:pPr>
      <w:bookmarkStart w:id="11" w:name="_Ref413150690"/>
      <w:r>
        <w:t>Appendix</w:t>
      </w:r>
      <w:bookmarkEnd w:id="11"/>
      <w:r>
        <w:t>: Linear Restriction Tests</w:t>
      </w:r>
    </w:p>
    <w:p w14:paraId="62FAB4E2" w14:textId="77777777" w:rsidR="0065555D" w:rsidRDefault="0065555D" w:rsidP="00FB3903">
      <w:pPr>
        <w:spacing w:line="240" w:lineRule="auto"/>
      </w:pPr>
    </w:p>
    <w:p w14:paraId="46FA3D82" w14:textId="77777777" w:rsidR="0065555D" w:rsidRDefault="0065555D" w:rsidP="00FB3903">
      <w:pPr>
        <w:spacing w:after="0" w:line="240" w:lineRule="auto"/>
      </w:pPr>
      <w:r>
        <w:t>Tests with L1% Dummies:</w:t>
      </w:r>
    </w:p>
    <w:p w14:paraId="0916844A" w14:textId="77777777" w:rsidR="0065555D" w:rsidRPr="00C779CB" w:rsidRDefault="0065555D" w:rsidP="00FB3903">
      <w:pPr>
        <w:pStyle w:val="ListParagraph"/>
        <w:numPr>
          <w:ilvl w:val="0"/>
          <w:numId w:val="5"/>
        </w:numPr>
        <w:spacing w:after="160" w:line="240" w:lineRule="auto"/>
        <w:jc w:val="left"/>
        <w:rPr>
          <w:szCs w:val="24"/>
        </w:rPr>
      </w:pPr>
      <w:proofErr w:type="gramStart"/>
      <w:r w:rsidRPr="00C779CB">
        <w:rPr>
          <w:szCs w:val="24"/>
        </w:rPr>
        <w:t>coeff</w:t>
      </w:r>
      <w:proofErr w:type="gramEnd"/>
      <w:r w:rsidRPr="00C779CB">
        <w:rPr>
          <w:szCs w:val="24"/>
        </w:rPr>
        <w:t>[D(0 ≤ L1% &lt; 20)] + coeff[D(0 ≤ L1% &lt; 20) × D(L1 Rollover)] = 0</w:t>
      </w:r>
    </w:p>
    <w:p w14:paraId="3FDDB91D" w14:textId="77777777" w:rsidR="0065555D" w:rsidRPr="00C779CB" w:rsidRDefault="0065555D" w:rsidP="00FB3903">
      <w:pPr>
        <w:pStyle w:val="ListParagraph"/>
        <w:numPr>
          <w:ilvl w:val="0"/>
          <w:numId w:val="5"/>
        </w:numPr>
        <w:spacing w:after="160" w:line="240" w:lineRule="auto"/>
        <w:jc w:val="left"/>
        <w:rPr>
          <w:szCs w:val="24"/>
        </w:rPr>
      </w:pPr>
      <w:proofErr w:type="gramStart"/>
      <w:r w:rsidRPr="00C779CB">
        <w:rPr>
          <w:szCs w:val="24"/>
        </w:rPr>
        <w:t>coeff</w:t>
      </w:r>
      <w:proofErr w:type="gramEnd"/>
      <w:r w:rsidRPr="00C779CB">
        <w:rPr>
          <w:szCs w:val="24"/>
        </w:rPr>
        <w:t>[D(20 ≤ L1% &lt; 40)] + coeff[D(</w:t>
      </w:r>
      <w:r w:rsidRPr="00C779CB">
        <w:rPr>
          <w:rFonts w:eastAsia="Times New Roman" w:cs="Times New Roman"/>
          <w:color w:val="000000"/>
          <w:szCs w:val="24"/>
        </w:rPr>
        <w:t>20 ≤ L1% &lt; 40</w:t>
      </w:r>
      <w:r w:rsidRPr="00C779CB">
        <w:rPr>
          <w:szCs w:val="24"/>
        </w:rPr>
        <w:t>) × D(L1 Rollover)] = 0</w:t>
      </w:r>
    </w:p>
    <w:p w14:paraId="38136A26" w14:textId="77777777" w:rsidR="0065555D" w:rsidRPr="00C779CB" w:rsidRDefault="0065555D" w:rsidP="00FB3903">
      <w:pPr>
        <w:pStyle w:val="ListParagraph"/>
        <w:numPr>
          <w:ilvl w:val="0"/>
          <w:numId w:val="5"/>
        </w:numPr>
        <w:spacing w:after="160" w:line="240" w:lineRule="auto"/>
        <w:jc w:val="left"/>
        <w:rPr>
          <w:szCs w:val="24"/>
        </w:rPr>
      </w:pPr>
      <w:proofErr w:type="gramStart"/>
      <w:r w:rsidRPr="00C779CB">
        <w:rPr>
          <w:szCs w:val="24"/>
        </w:rPr>
        <w:t>coeff</w:t>
      </w:r>
      <w:proofErr w:type="gramEnd"/>
      <w:r w:rsidRPr="00C779CB">
        <w:rPr>
          <w:szCs w:val="24"/>
        </w:rPr>
        <w:t>[D(</w:t>
      </w:r>
      <w:r w:rsidRPr="00C779CB">
        <w:rPr>
          <w:rFonts w:eastAsia="Times New Roman" w:cs="Times New Roman"/>
          <w:color w:val="000000"/>
          <w:szCs w:val="24"/>
        </w:rPr>
        <w:t>40 ≤ L1% &lt; 60</w:t>
      </w:r>
      <w:r w:rsidRPr="00C779CB">
        <w:rPr>
          <w:szCs w:val="24"/>
        </w:rPr>
        <w:t>)] + coeff[D(</w:t>
      </w:r>
      <w:r w:rsidRPr="00C779CB">
        <w:rPr>
          <w:rFonts w:eastAsia="Times New Roman" w:cs="Times New Roman"/>
          <w:color w:val="000000"/>
          <w:szCs w:val="24"/>
        </w:rPr>
        <w:t>40 ≤ L1% &lt; 60</w:t>
      </w:r>
      <w:r w:rsidRPr="00C779CB">
        <w:rPr>
          <w:szCs w:val="24"/>
        </w:rPr>
        <w:t>) × D(L1 Rollover)] = 0</w:t>
      </w:r>
    </w:p>
    <w:p w14:paraId="5BDBFAC3" w14:textId="77777777" w:rsidR="0065555D" w:rsidRPr="00C779CB" w:rsidRDefault="0065555D" w:rsidP="00FB3903">
      <w:pPr>
        <w:pStyle w:val="ListParagraph"/>
        <w:numPr>
          <w:ilvl w:val="0"/>
          <w:numId w:val="5"/>
        </w:numPr>
        <w:spacing w:after="160" w:line="240" w:lineRule="auto"/>
        <w:jc w:val="left"/>
        <w:rPr>
          <w:szCs w:val="24"/>
        </w:rPr>
      </w:pPr>
      <w:proofErr w:type="gramStart"/>
      <w:r w:rsidRPr="00C779CB">
        <w:rPr>
          <w:szCs w:val="24"/>
        </w:rPr>
        <w:t>coeff</w:t>
      </w:r>
      <w:proofErr w:type="gramEnd"/>
      <w:r w:rsidRPr="00C779CB">
        <w:rPr>
          <w:szCs w:val="24"/>
        </w:rPr>
        <w:t>[D(</w:t>
      </w:r>
      <w:r w:rsidRPr="00C779CB">
        <w:rPr>
          <w:rFonts w:eastAsia="Times New Roman" w:cs="Times New Roman"/>
          <w:color w:val="000000"/>
          <w:szCs w:val="24"/>
        </w:rPr>
        <w:t>60 ≤ L1% &lt; 80</w:t>
      </w:r>
      <w:r w:rsidRPr="00C779CB">
        <w:rPr>
          <w:szCs w:val="24"/>
        </w:rPr>
        <w:t>)] + coeff[D(</w:t>
      </w:r>
      <w:r w:rsidRPr="00C779CB">
        <w:rPr>
          <w:rFonts w:eastAsia="Times New Roman" w:cs="Times New Roman"/>
          <w:color w:val="000000"/>
          <w:szCs w:val="24"/>
        </w:rPr>
        <w:t>60 ≤ L1% &lt; 80</w:t>
      </w:r>
      <w:r w:rsidRPr="00C779CB">
        <w:rPr>
          <w:szCs w:val="24"/>
        </w:rPr>
        <w:t>) × D(L1 Rollover)] = 0</w:t>
      </w:r>
    </w:p>
    <w:p w14:paraId="212FE535" w14:textId="77777777" w:rsidR="0065555D" w:rsidRPr="00C779CB" w:rsidRDefault="0065555D" w:rsidP="00FB3903">
      <w:pPr>
        <w:pStyle w:val="ListParagraph"/>
        <w:numPr>
          <w:ilvl w:val="0"/>
          <w:numId w:val="5"/>
        </w:numPr>
        <w:spacing w:after="0" w:line="240" w:lineRule="auto"/>
        <w:jc w:val="left"/>
        <w:rPr>
          <w:szCs w:val="24"/>
        </w:rPr>
      </w:pPr>
      <w:proofErr w:type="gramStart"/>
      <w:r w:rsidRPr="00C779CB">
        <w:rPr>
          <w:szCs w:val="24"/>
        </w:rPr>
        <w:t>coeff</w:t>
      </w:r>
      <w:proofErr w:type="gramEnd"/>
      <w:r w:rsidRPr="00C779CB">
        <w:rPr>
          <w:szCs w:val="24"/>
        </w:rPr>
        <w:t>[D(</w:t>
      </w:r>
      <w:r w:rsidRPr="00C779CB">
        <w:rPr>
          <w:rFonts w:eastAsia="Times New Roman" w:cs="Times New Roman"/>
          <w:color w:val="000000"/>
          <w:szCs w:val="24"/>
        </w:rPr>
        <w:t>80 ≤ L1% &lt; 100</w:t>
      </w:r>
      <w:r w:rsidRPr="00C779CB">
        <w:rPr>
          <w:szCs w:val="24"/>
        </w:rPr>
        <w:t>)] + coeff[D(</w:t>
      </w:r>
      <w:r w:rsidRPr="00C779CB">
        <w:rPr>
          <w:rFonts w:eastAsia="Times New Roman" w:cs="Times New Roman"/>
          <w:color w:val="000000"/>
          <w:szCs w:val="24"/>
        </w:rPr>
        <w:t>80 ≤ L1% &lt; 100</w:t>
      </w:r>
      <w:r w:rsidRPr="00C779CB">
        <w:rPr>
          <w:szCs w:val="24"/>
        </w:rPr>
        <w:t>) × D(L1 Rollover)] = 0</w:t>
      </w:r>
    </w:p>
    <w:p w14:paraId="4578D7FA" w14:textId="77777777" w:rsidR="0065555D" w:rsidRDefault="0065555D" w:rsidP="00FB3903">
      <w:pPr>
        <w:spacing w:line="240" w:lineRule="auto"/>
      </w:pPr>
    </w:p>
    <w:p w14:paraId="480274BA" w14:textId="77777777" w:rsidR="0065555D" w:rsidRDefault="0065555D" w:rsidP="00FB3903">
      <w:pPr>
        <w:spacing w:after="0" w:line="240" w:lineRule="auto"/>
      </w:pPr>
      <w:r>
        <w:t>Tests with HHI Dummies:</w:t>
      </w:r>
    </w:p>
    <w:p w14:paraId="2144D46C" w14:textId="77777777" w:rsidR="0065555D" w:rsidRDefault="0065555D" w:rsidP="00FB3903">
      <w:pPr>
        <w:pStyle w:val="ListParagraph"/>
        <w:numPr>
          <w:ilvl w:val="0"/>
          <w:numId w:val="6"/>
        </w:numPr>
        <w:spacing w:after="160" w:line="240" w:lineRule="auto"/>
        <w:jc w:val="left"/>
      </w:pPr>
      <w:proofErr w:type="gramStart"/>
      <w:r>
        <w:t>coeff</w:t>
      </w:r>
      <w:proofErr w:type="gramEnd"/>
      <w:r>
        <w:t>[</w:t>
      </w:r>
      <w:r w:rsidRPr="00C779CB">
        <w:t>D(HHI quantile=1)</w:t>
      </w:r>
      <w:r>
        <w:t>] + coeff[</w:t>
      </w:r>
      <w:r w:rsidRPr="00C779CB">
        <w:t>D(HHI quantile=1) × D(L1 Rollover)</w:t>
      </w:r>
      <w:r>
        <w:t xml:space="preserve">] </w:t>
      </w:r>
      <w:r w:rsidRPr="00C779CB">
        <w:t>= 0</w:t>
      </w:r>
    </w:p>
    <w:p w14:paraId="6895E655" w14:textId="77777777" w:rsidR="0065555D" w:rsidRDefault="0065555D" w:rsidP="00FB3903">
      <w:pPr>
        <w:pStyle w:val="ListParagraph"/>
        <w:numPr>
          <w:ilvl w:val="0"/>
          <w:numId w:val="6"/>
        </w:numPr>
        <w:spacing w:after="160" w:line="240" w:lineRule="auto"/>
        <w:jc w:val="left"/>
      </w:pPr>
      <w:proofErr w:type="gramStart"/>
      <w:r>
        <w:t>coeff</w:t>
      </w:r>
      <w:proofErr w:type="gramEnd"/>
      <w:r>
        <w:t>[</w:t>
      </w:r>
      <w:r w:rsidRPr="00C779CB">
        <w:t>D(HHI quantile=</w:t>
      </w:r>
      <w:r>
        <w:t>2</w:t>
      </w:r>
      <w:r w:rsidRPr="00C779CB">
        <w:t>)</w:t>
      </w:r>
      <w:r>
        <w:t>] + coeff[</w:t>
      </w:r>
      <w:r w:rsidRPr="00C779CB">
        <w:t>D(HHI quantile=</w:t>
      </w:r>
      <w:r>
        <w:t>2</w:t>
      </w:r>
      <w:r w:rsidRPr="00C779CB">
        <w:t>) × D(L1 Rollover)</w:t>
      </w:r>
      <w:r>
        <w:t xml:space="preserve">] </w:t>
      </w:r>
      <w:r w:rsidRPr="00C779CB">
        <w:t>= 0</w:t>
      </w:r>
    </w:p>
    <w:p w14:paraId="59B2466F" w14:textId="77777777" w:rsidR="0065555D" w:rsidRDefault="0065555D" w:rsidP="00FB3903">
      <w:pPr>
        <w:pStyle w:val="ListParagraph"/>
        <w:numPr>
          <w:ilvl w:val="0"/>
          <w:numId w:val="6"/>
        </w:numPr>
        <w:spacing w:after="160" w:line="240" w:lineRule="auto"/>
        <w:jc w:val="left"/>
      </w:pPr>
      <w:proofErr w:type="gramStart"/>
      <w:r>
        <w:t>coeff</w:t>
      </w:r>
      <w:proofErr w:type="gramEnd"/>
      <w:r>
        <w:t>[</w:t>
      </w:r>
      <w:r w:rsidRPr="00C779CB">
        <w:t>D(HHI quantile=</w:t>
      </w:r>
      <w:r>
        <w:t>3</w:t>
      </w:r>
      <w:r w:rsidRPr="00C779CB">
        <w:t>)</w:t>
      </w:r>
      <w:r>
        <w:t>] + coeff[</w:t>
      </w:r>
      <w:r w:rsidRPr="00C779CB">
        <w:t>D(HHI quantile=</w:t>
      </w:r>
      <w:r>
        <w:t>3</w:t>
      </w:r>
      <w:r w:rsidRPr="00C779CB">
        <w:t>) × D(L1 Rollover)</w:t>
      </w:r>
      <w:r>
        <w:t xml:space="preserve">] </w:t>
      </w:r>
      <w:r w:rsidRPr="00C779CB">
        <w:t>= 0</w:t>
      </w:r>
    </w:p>
    <w:p w14:paraId="2744FE52" w14:textId="77777777" w:rsidR="0065555D" w:rsidRDefault="0065555D" w:rsidP="00FB3903">
      <w:pPr>
        <w:pStyle w:val="ListParagraph"/>
        <w:numPr>
          <w:ilvl w:val="0"/>
          <w:numId w:val="6"/>
        </w:numPr>
        <w:spacing w:after="160" w:line="240" w:lineRule="auto"/>
        <w:jc w:val="left"/>
      </w:pPr>
      <w:proofErr w:type="gramStart"/>
      <w:r>
        <w:t>coeff</w:t>
      </w:r>
      <w:proofErr w:type="gramEnd"/>
      <w:r>
        <w:t>[</w:t>
      </w:r>
      <w:r w:rsidRPr="00C779CB">
        <w:t>D(HHI quantile=</w:t>
      </w:r>
      <w:r>
        <w:t>4</w:t>
      </w:r>
      <w:r w:rsidRPr="00C779CB">
        <w:t>)</w:t>
      </w:r>
      <w:r>
        <w:t>] + coeff[</w:t>
      </w:r>
      <w:r w:rsidRPr="00C779CB">
        <w:t>D(HHI quantile=</w:t>
      </w:r>
      <w:r>
        <w:t>4</w:t>
      </w:r>
      <w:r w:rsidRPr="00C779CB">
        <w:t>) × D(L1 Rollover)</w:t>
      </w:r>
      <w:r>
        <w:t xml:space="preserve">] </w:t>
      </w:r>
      <w:r w:rsidRPr="00C779CB">
        <w:t>= 0</w:t>
      </w:r>
    </w:p>
    <w:p w14:paraId="1CDD5C25" w14:textId="77777777" w:rsidR="0065555D" w:rsidRDefault="0065555D" w:rsidP="00FB3903">
      <w:pPr>
        <w:pStyle w:val="ListParagraph"/>
        <w:numPr>
          <w:ilvl w:val="0"/>
          <w:numId w:val="6"/>
        </w:numPr>
        <w:spacing w:after="0" w:line="240" w:lineRule="auto"/>
        <w:jc w:val="left"/>
      </w:pPr>
      <w:proofErr w:type="gramStart"/>
      <w:r>
        <w:t>coeff</w:t>
      </w:r>
      <w:proofErr w:type="gramEnd"/>
      <w:r>
        <w:t>[</w:t>
      </w:r>
      <w:r w:rsidRPr="00C779CB">
        <w:t>D(HHI quantile=</w:t>
      </w:r>
      <w:r>
        <w:t>5</w:t>
      </w:r>
      <w:r w:rsidRPr="00C779CB">
        <w:t>)</w:t>
      </w:r>
      <w:r>
        <w:t>] + coeff[</w:t>
      </w:r>
      <w:r w:rsidRPr="00C779CB">
        <w:t>D(HHI quantile=</w:t>
      </w:r>
      <w:r>
        <w:t>5</w:t>
      </w:r>
      <w:r w:rsidRPr="00C779CB">
        <w:t>) × D(L1 Rollover)</w:t>
      </w:r>
      <w:r>
        <w:t xml:space="preserve">] </w:t>
      </w:r>
      <w:r w:rsidRPr="00C779CB">
        <w:t>= 0</w:t>
      </w:r>
    </w:p>
    <w:p w14:paraId="7324AE70" w14:textId="77777777" w:rsidR="0065555D" w:rsidRDefault="0065555D" w:rsidP="00FB3903">
      <w:pPr>
        <w:spacing w:line="240" w:lineRule="auto"/>
      </w:pPr>
    </w:p>
    <w:p w14:paraId="6144E4F7" w14:textId="77777777" w:rsidR="0065555D" w:rsidRDefault="0065555D" w:rsidP="00FB3903">
      <w:pPr>
        <w:spacing w:line="240" w:lineRule="auto"/>
      </w:pPr>
      <w:r>
        <w:t xml:space="preserve">Tests for </w:t>
      </w:r>
      <w:r w:rsidRPr="008C73FB">
        <w:rPr>
          <w:rFonts w:eastAsia="Times New Roman" w:cs="Times New Roman"/>
          <w:bCs/>
          <w:szCs w:val="18"/>
        </w:rPr>
        <w:t xml:space="preserve">Table </w:t>
      </w:r>
      <w:r>
        <w:rPr>
          <w:rFonts w:eastAsia="Times New Roman" w:cs="Times New Roman"/>
          <w:bCs/>
          <w:noProof/>
          <w:szCs w:val="18"/>
        </w:rPr>
        <w:t>3</w:t>
      </w:r>
      <w:r>
        <w:t xml:space="preserve"> and Table </w:t>
      </w:r>
      <w:r>
        <w:rPr>
          <w:noProof/>
        </w:rPr>
        <w:t>5</w:t>
      </w:r>
    </w:p>
    <w:tbl>
      <w:tblPr>
        <w:tblW w:w="5110" w:type="dxa"/>
        <w:tblLook w:val="04A0" w:firstRow="1" w:lastRow="0" w:firstColumn="1" w:lastColumn="0" w:noHBand="0" w:noVBand="1"/>
      </w:tblPr>
      <w:tblGrid>
        <w:gridCol w:w="1270"/>
        <w:gridCol w:w="960"/>
        <w:gridCol w:w="960"/>
        <w:gridCol w:w="960"/>
        <w:gridCol w:w="960"/>
      </w:tblGrid>
      <w:tr w:rsidR="0065555D" w:rsidRPr="004A1AA7" w14:paraId="089F5D5F" w14:textId="77777777" w:rsidTr="00FB3903">
        <w:trPr>
          <w:trHeight w:val="264"/>
        </w:trPr>
        <w:tc>
          <w:tcPr>
            <w:tcW w:w="1270" w:type="dxa"/>
            <w:tcBorders>
              <w:top w:val="single" w:sz="4" w:space="0" w:color="auto"/>
              <w:left w:val="nil"/>
              <w:right w:val="nil"/>
            </w:tcBorders>
            <w:shd w:val="clear" w:color="auto" w:fill="auto"/>
            <w:noWrap/>
            <w:vAlign w:val="bottom"/>
          </w:tcPr>
          <w:p w14:paraId="2B10AF53" w14:textId="77777777" w:rsidR="0065555D" w:rsidRPr="004A1AA7" w:rsidRDefault="0065555D" w:rsidP="00FB3903">
            <w:pPr>
              <w:spacing w:after="0" w:line="240" w:lineRule="auto"/>
              <w:rPr>
                <w:rFonts w:eastAsia="Times New Roman" w:cs="Times New Roman"/>
                <w:szCs w:val="24"/>
              </w:rPr>
            </w:pPr>
          </w:p>
        </w:tc>
        <w:tc>
          <w:tcPr>
            <w:tcW w:w="1920" w:type="dxa"/>
            <w:gridSpan w:val="2"/>
            <w:tcBorders>
              <w:top w:val="single" w:sz="4" w:space="0" w:color="auto"/>
              <w:left w:val="nil"/>
              <w:bottom w:val="single" w:sz="4" w:space="0" w:color="auto"/>
              <w:right w:val="nil"/>
            </w:tcBorders>
            <w:shd w:val="clear" w:color="auto" w:fill="auto"/>
            <w:noWrap/>
            <w:vAlign w:val="center"/>
          </w:tcPr>
          <w:p w14:paraId="3A22C397" w14:textId="77777777" w:rsidR="0065555D" w:rsidRPr="004A1AA7" w:rsidRDefault="0065555D" w:rsidP="00FB3903">
            <w:pPr>
              <w:spacing w:after="0" w:line="240" w:lineRule="auto"/>
              <w:jc w:val="center"/>
              <w:rPr>
                <w:rFonts w:eastAsia="Times New Roman" w:cs="Times New Roman"/>
                <w:szCs w:val="24"/>
              </w:rPr>
            </w:pPr>
            <w:r w:rsidRPr="004A1AA7">
              <w:rPr>
                <w:rFonts w:eastAsia="Times New Roman" w:cs="Times New Roman"/>
                <w:szCs w:val="24"/>
              </w:rPr>
              <w:t>L1% Dummies</w:t>
            </w:r>
          </w:p>
        </w:tc>
        <w:tc>
          <w:tcPr>
            <w:tcW w:w="1920" w:type="dxa"/>
            <w:gridSpan w:val="2"/>
            <w:tcBorders>
              <w:top w:val="single" w:sz="4" w:space="0" w:color="auto"/>
              <w:left w:val="nil"/>
              <w:bottom w:val="single" w:sz="4" w:space="0" w:color="auto"/>
              <w:right w:val="nil"/>
            </w:tcBorders>
            <w:shd w:val="clear" w:color="auto" w:fill="auto"/>
            <w:noWrap/>
            <w:vAlign w:val="center"/>
          </w:tcPr>
          <w:p w14:paraId="62B659C9" w14:textId="77777777" w:rsidR="0065555D" w:rsidRPr="004A1AA7" w:rsidRDefault="0065555D" w:rsidP="00FB3903">
            <w:pPr>
              <w:spacing w:after="0" w:line="240" w:lineRule="auto"/>
              <w:jc w:val="center"/>
              <w:rPr>
                <w:rFonts w:eastAsia="Times New Roman" w:cs="Times New Roman"/>
                <w:szCs w:val="24"/>
              </w:rPr>
            </w:pPr>
            <w:r w:rsidRPr="004A1AA7">
              <w:rPr>
                <w:rFonts w:eastAsia="Times New Roman" w:cs="Times New Roman"/>
                <w:szCs w:val="24"/>
              </w:rPr>
              <w:t>HHI Dummies</w:t>
            </w:r>
          </w:p>
        </w:tc>
      </w:tr>
      <w:tr w:rsidR="0065555D" w:rsidRPr="004A1AA7" w14:paraId="3BB7C2B4" w14:textId="77777777" w:rsidTr="00FB3903">
        <w:trPr>
          <w:trHeight w:val="264"/>
        </w:trPr>
        <w:tc>
          <w:tcPr>
            <w:tcW w:w="1270" w:type="dxa"/>
            <w:tcBorders>
              <w:left w:val="nil"/>
              <w:bottom w:val="single" w:sz="4" w:space="0" w:color="auto"/>
              <w:right w:val="nil"/>
            </w:tcBorders>
            <w:shd w:val="clear" w:color="auto" w:fill="auto"/>
            <w:noWrap/>
            <w:vAlign w:val="bottom"/>
            <w:hideMark/>
          </w:tcPr>
          <w:p w14:paraId="64CDC7D2" w14:textId="77777777" w:rsidR="0065555D" w:rsidRPr="004A1AA7" w:rsidRDefault="0065555D" w:rsidP="00FB3903">
            <w:pPr>
              <w:spacing w:after="0" w:line="240" w:lineRule="auto"/>
              <w:rPr>
                <w:rFonts w:eastAsia="Times New Roman" w:cs="Times New Roman"/>
                <w:szCs w:val="24"/>
              </w:rPr>
            </w:pPr>
            <w:r w:rsidRPr="004A1AA7">
              <w:rPr>
                <w:rFonts w:eastAsia="Times New Roman" w:cs="Times New Roman"/>
                <w:szCs w:val="24"/>
              </w:rPr>
              <w:t>Restriction</w:t>
            </w:r>
          </w:p>
        </w:tc>
        <w:tc>
          <w:tcPr>
            <w:tcW w:w="960" w:type="dxa"/>
            <w:tcBorders>
              <w:top w:val="single" w:sz="4" w:space="0" w:color="auto"/>
              <w:left w:val="nil"/>
              <w:bottom w:val="single" w:sz="4" w:space="0" w:color="auto"/>
              <w:right w:val="nil"/>
            </w:tcBorders>
            <w:shd w:val="clear" w:color="auto" w:fill="auto"/>
            <w:noWrap/>
            <w:vAlign w:val="center"/>
            <w:hideMark/>
          </w:tcPr>
          <w:p w14:paraId="4577B9FA" w14:textId="77777777" w:rsidR="0065555D" w:rsidRPr="004A1AA7" w:rsidRDefault="0065555D" w:rsidP="00FB3903">
            <w:pPr>
              <w:spacing w:after="0" w:line="240" w:lineRule="auto"/>
              <w:jc w:val="center"/>
              <w:rPr>
                <w:rFonts w:eastAsia="Times New Roman" w:cs="Times New Roman"/>
                <w:szCs w:val="24"/>
              </w:rPr>
            </w:pPr>
            <w:r w:rsidRPr="004A1AA7">
              <w:rPr>
                <w:rFonts w:eastAsia="Times New Roman" w:cs="Times New Roman"/>
                <w:szCs w:val="24"/>
              </w:rPr>
              <w:t>chi</w:t>
            </w:r>
            <w:r w:rsidRPr="004A1AA7">
              <w:rPr>
                <w:rFonts w:eastAsia="Times New Roman" w:cs="Times New Roman"/>
                <w:szCs w:val="24"/>
                <w:vertAlign w:val="superscript"/>
              </w:rPr>
              <w:t>2</w:t>
            </w:r>
          </w:p>
        </w:tc>
        <w:tc>
          <w:tcPr>
            <w:tcW w:w="960" w:type="dxa"/>
            <w:tcBorders>
              <w:top w:val="single" w:sz="4" w:space="0" w:color="auto"/>
              <w:left w:val="nil"/>
              <w:bottom w:val="single" w:sz="4" w:space="0" w:color="auto"/>
              <w:right w:val="nil"/>
            </w:tcBorders>
            <w:shd w:val="clear" w:color="auto" w:fill="auto"/>
            <w:noWrap/>
            <w:vAlign w:val="center"/>
            <w:hideMark/>
          </w:tcPr>
          <w:p w14:paraId="1D267ADF" w14:textId="77777777" w:rsidR="0065555D" w:rsidRPr="004A1AA7" w:rsidRDefault="0065555D" w:rsidP="00FB3903">
            <w:pPr>
              <w:spacing w:after="0" w:line="240" w:lineRule="auto"/>
              <w:jc w:val="center"/>
              <w:rPr>
                <w:rFonts w:eastAsia="Times New Roman" w:cs="Times New Roman"/>
                <w:szCs w:val="24"/>
              </w:rPr>
            </w:pPr>
            <w:r w:rsidRPr="004A1AA7">
              <w:rPr>
                <w:rFonts w:eastAsia="Times New Roman" w:cs="Times New Roman"/>
                <w:szCs w:val="24"/>
              </w:rPr>
              <w:t>p-val</w:t>
            </w:r>
          </w:p>
        </w:tc>
        <w:tc>
          <w:tcPr>
            <w:tcW w:w="960" w:type="dxa"/>
            <w:tcBorders>
              <w:top w:val="single" w:sz="4" w:space="0" w:color="auto"/>
              <w:left w:val="nil"/>
              <w:bottom w:val="single" w:sz="4" w:space="0" w:color="auto"/>
              <w:right w:val="nil"/>
            </w:tcBorders>
            <w:shd w:val="clear" w:color="auto" w:fill="auto"/>
            <w:noWrap/>
            <w:vAlign w:val="center"/>
            <w:hideMark/>
          </w:tcPr>
          <w:p w14:paraId="684488B0" w14:textId="77777777" w:rsidR="0065555D" w:rsidRPr="004A1AA7" w:rsidRDefault="0065555D" w:rsidP="00FB3903">
            <w:pPr>
              <w:spacing w:after="0" w:line="240" w:lineRule="auto"/>
              <w:jc w:val="center"/>
              <w:rPr>
                <w:rFonts w:eastAsia="Times New Roman" w:cs="Times New Roman"/>
                <w:szCs w:val="24"/>
              </w:rPr>
            </w:pPr>
            <w:r w:rsidRPr="004A1AA7">
              <w:rPr>
                <w:rFonts w:eastAsia="Times New Roman" w:cs="Times New Roman"/>
                <w:szCs w:val="24"/>
              </w:rPr>
              <w:t>chi</w:t>
            </w:r>
            <w:r w:rsidRPr="004A1AA7">
              <w:rPr>
                <w:rFonts w:eastAsia="Times New Roman" w:cs="Times New Roman"/>
                <w:szCs w:val="24"/>
                <w:vertAlign w:val="superscript"/>
              </w:rPr>
              <w:t>2</w:t>
            </w:r>
          </w:p>
        </w:tc>
        <w:tc>
          <w:tcPr>
            <w:tcW w:w="960" w:type="dxa"/>
            <w:tcBorders>
              <w:top w:val="single" w:sz="4" w:space="0" w:color="auto"/>
              <w:left w:val="nil"/>
              <w:bottom w:val="single" w:sz="4" w:space="0" w:color="auto"/>
              <w:right w:val="nil"/>
            </w:tcBorders>
            <w:shd w:val="clear" w:color="auto" w:fill="auto"/>
            <w:noWrap/>
            <w:vAlign w:val="center"/>
            <w:hideMark/>
          </w:tcPr>
          <w:p w14:paraId="283CB350" w14:textId="77777777" w:rsidR="0065555D" w:rsidRPr="004A1AA7" w:rsidRDefault="0065555D" w:rsidP="00FB3903">
            <w:pPr>
              <w:spacing w:after="0" w:line="240" w:lineRule="auto"/>
              <w:jc w:val="center"/>
              <w:rPr>
                <w:rFonts w:eastAsia="Times New Roman" w:cs="Times New Roman"/>
                <w:szCs w:val="24"/>
              </w:rPr>
            </w:pPr>
            <w:r w:rsidRPr="004A1AA7">
              <w:rPr>
                <w:rFonts w:eastAsia="Times New Roman" w:cs="Times New Roman"/>
                <w:szCs w:val="24"/>
              </w:rPr>
              <w:t>p-val</w:t>
            </w:r>
          </w:p>
        </w:tc>
      </w:tr>
      <w:tr w:rsidR="0065555D" w:rsidRPr="004A1AA7" w14:paraId="3BA9EBBD" w14:textId="77777777" w:rsidTr="00FB3903">
        <w:trPr>
          <w:trHeight w:val="264"/>
        </w:trPr>
        <w:tc>
          <w:tcPr>
            <w:tcW w:w="1270" w:type="dxa"/>
            <w:tcBorders>
              <w:top w:val="single" w:sz="4" w:space="0" w:color="auto"/>
              <w:left w:val="nil"/>
              <w:bottom w:val="nil"/>
              <w:right w:val="nil"/>
            </w:tcBorders>
            <w:shd w:val="clear" w:color="auto" w:fill="auto"/>
            <w:noWrap/>
            <w:vAlign w:val="bottom"/>
            <w:hideMark/>
          </w:tcPr>
          <w:p w14:paraId="13B5478A" w14:textId="77777777" w:rsidR="0065555D" w:rsidRPr="004A1AA7" w:rsidRDefault="0065555D" w:rsidP="00FB3903">
            <w:pPr>
              <w:spacing w:after="0" w:line="240" w:lineRule="auto"/>
              <w:jc w:val="center"/>
              <w:rPr>
                <w:rFonts w:eastAsia="Times New Roman" w:cs="Times New Roman"/>
                <w:szCs w:val="24"/>
              </w:rPr>
            </w:pPr>
            <w:r w:rsidRPr="004A1AA7">
              <w:rPr>
                <w:rFonts w:eastAsia="Times New Roman" w:cs="Times New Roman"/>
                <w:szCs w:val="24"/>
              </w:rPr>
              <w:t>1</w:t>
            </w:r>
          </w:p>
        </w:tc>
        <w:tc>
          <w:tcPr>
            <w:tcW w:w="960" w:type="dxa"/>
            <w:tcBorders>
              <w:top w:val="single" w:sz="4" w:space="0" w:color="auto"/>
              <w:left w:val="nil"/>
              <w:bottom w:val="nil"/>
              <w:right w:val="nil"/>
            </w:tcBorders>
            <w:shd w:val="clear" w:color="auto" w:fill="auto"/>
            <w:noWrap/>
            <w:vAlign w:val="center"/>
          </w:tcPr>
          <w:p w14:paraId="2C862BF0" w14:textId="77777777" w:rsidR="0065555D" w:rsidRPr="007D4CAC" w:rsidRDefault="0065555D" w:rsidP="00FB3903">
            <w:pPr>
              <w:spacing w:line="240" w:lineRule="auto"/>
              <w:jc w:val="center"/>
            </w:pPr>
            <w:r w:rsidRPr="007D4CAC">
              <w:t>13.31</w:t>
            </w:r>
          </w:p>
        </w:tc>
        <w:tc>
          <w:tcPr>
            <w:tcW w:w="960" w:type="dxa"/>
            <w:tcBorders>
              <w:top w:val="single" w:sz="4" w:space="0" w:color="auto"/>
              <w:left w:val="nil"/>
              <w:bottom w:val="nil"/>
              <w:right w:val="nil"/>
            </w:tcBorders>
            <w:shd w:val="clear" w:color="auto" w:fill="auto"/>
            <w:noWrap/>
            <w:vAlign w:val="center"/>
          </w:tcPr>
          <w:p w14:paraId="32504F82" w14:textId="77777777" w:rsidR="0065555D" w:rsidRPr="007D4CAC" w:rsidRDefault="0065555D" w:rsidP="00FB3903">
            <w:pPr>
              <w:spacing w:line="240" w:lineRule="auto"/>
              <w:jc w:val="center"/>
            </w:pPr>
            <w:r w:rsidRPr="007D4CAC">
              <w:t>0.0004</w:t>
            </w:r>
          </w:p>
        </w:tc>
        <w:tc>
          <w:tcPr>
            <w:tcW w:w="960" w:type="dxa"/>
            <w:tcBorders>
              <w:top w:val="single" w:sz="4" w:space="0" w:color="auto"/>
              <w:left w:val="nil"/>
              <w:bottom w:val="nil"/>
              <w:right w:val="nil"/>
            </w:tcBorders>
            <w:shd w:val="clear" w:color="auto" w:fill="auto"/>
            <w:noWrap/>
            <w:vAlign w:val="center"/>
          </w:tcPr>
          <w:p w14:paraId="4E070657" w14:textId="77777777" w:rsidR="0065555D" w:rsidRPr="007D4CAC" w:rsidRDefault="0065555D" w:rsidP="00FB3903">
            <w:pPr>
              <w:spacing w:line="240" w:lineRule="auto"/>
              <w:jc w:val="center"/>
            </w:pPr>
            <w:r w:rsidRPr="007D4CAC">
              <w:t>11.03</w:t>
            </w:r>
          </w:p>
        </w:tc>
        <w:tc>
          <w:tcPr>
            <w:tcW w:w="960" w:type="dxa"/>
            <w:tcBorders>
              <w:top w:val="single" w:sz="4" w:space="0" w:color="auto"/>
              <w:left w:val="nil"/>
              <w:bottom w:val="nil"/>
              <w:right w:val="nil"/>
            </w:tcBorders>
            <w:shd w:val="clear" w:color="auto" w:fill="auto"/>
            <w:noWrap/>
            <w:vAlign w:val="center"/>
          </w:tcPr>
          <w:p w14:paraId="7E8B28D2" w14:textId="77777777" w:rsidR="0065555D" w:rsidRPr="007D4CAC" w:rsidRDefault="0065555D" w:rsidP="00FB3903">
            <w:pPr>
              <w:spacing w:line="240" w:lineRule="auto"/>
              <w:jc w:val="center"/>
            </w:pPr>
            <w:r w:rsidRPr="007D4CAC">
              <w:t>0.0011</w:t>
            </w:r>
          </w:p>
        </w:tc>
      </w:tr>
      <w:tr w:rsidR="0065555D" w:rsidRPr="004A1AA7" w14:paraId="4BDBFDBB" w14:textId="77777777" w:rsidTr="00FB3903">
        <w:trPr>
          <w:trHeight w:val="264"/>
        </w:trPr>
        <w:tc>
          <w:tcPr>
            <w:tcW w:w="1270" w:type="dxa"/>
            <w:tcBorders>
              <w:top w:val="nil"/>
              <w:left w:val="nil"/>
              <w:bottom w:val="nil"/>
              <w:right w:val="nil"/>
            </w:tcBorders>
            <w:shd w:val="clear" w:color="auto" w:fill="auto"/>
            <w:noWrap/>
            <w:vAlign w:val="bottom"/>
            <w:hideMark/>
          </w:tcPr>
          <w:p w14:paraId="00C5776C" w14:textId="77777777" w:rsidR="0065555D" w:rsidRPr="004A1AA7" w:rsidRDefault="0065555D" w:rsidP="00FB3903">
            <w:pPr>
              <w:spacing w:after="0" w:line="240" w:lineRule="auto"/>
              <w:jc w:val="center"/>
              <w:rPr>
                <w:rFonts w:eastAsia="Times New Roman" w:cs="Times New Roman"/>
                <w:szCs w:val="24"/>
              </w:rPr>
            </w:pPr>
            <w:r w:rsidRPr="004A1AA7">
              <w:rPr>
                <w:rFonts w:eastAsia="Times New Roman" w:cs="Times New Roman"/>
                <w:szCs w:val="24"/>
              </w:rPr>
              <w:t>2</w:t>
            </w:r>
          </w:p>
        </w:tc>
        <w:tc>
          <w:tcPr>
            <w:tcW w:w="960" w:type="dxa"/>
            <w:tcBorders>
              <w:top w:val="nil"/>
              <w:left w:val="nil"/>
              <w:bottom w:val="nil"/>
              <w:right w:val="nil"/>
            </w:tcBorders>
            <w:shd w:val="clear" w:color="auto" w:fill="auto"/>
            <w:noWrap/>
            <w:vAlign w:val="center"/>
          </w:tcPr>
          <w:p w14:paraId="328321D5" w14:textId="77777777" w:rsidR="0065555D" w:rsidRPr="007D4CAC" w:rsidRDefault="0065555D" w:rsidP="00FB3903">
            <w:pPr>
              <w:spacing w:line="240" w:lineRule="auto"/>
              <w:jc w:val="center"/>
            </w:pPr>
            <w:r w:rsidRPr="007D4CAC">
              <w:t>3.71</w:t>
            </w:r>
          </w:p>
        </w:tc>
        <w:tc>
          <w:tcPr>
            <w:tcW w:w="960" w:type="dxa"/>
            <w:tcBorders>
              <w:top w:val="nil"/>
              <w:left w:val="nil"/>
              <w:bottom w:val="nil"/>
              <w:right w:val="nil"/>
            </w:tcBorders>
            <w:shd w:val="clear" w:color="auto" w:fill="auto"/>
            <w:noWrap/>
            <w:vAlign w:val="center"/>
          </w:tcPr>
          <w:p w14:paraId="6BB5B9AD" w14:textId="77777777" w:rsidR="0065555D" w:rsidRPr="007D4CAC" w:rsidRDefault="0065555D" w:rsidP="00FB3903">
            <w:pPr>
              <w:spacing w:line="240" w:lineRule="auto"/>
              <w:jc w:val="center"/>
            </w:pPr>
            <w:r w:rsidRPr="007D4CAC">
              <w:t>0.0558</w:t>
            </w:r>
          </w:p>
        </w:tc>
        <w:tc>
          <w:tcPr>
            <w:tcW w:w="960" w:type="dxa"/>
            <w:tcBorders>
              <w:top w:val="nil"/>
              <w:left w:val="nil"/>
              <w:bottom w:val="nil"/>
              <w:right w:val="nil"/>
            </w:tcBorders>
            <w:shd w:val="clear" w:color="auto" w:fill="auto"/>
            <w:noWrap/>
            <w:vAlign w:val="center"/>
          </w:tcPr>
          <w:p w14:paraId="35A10A43" w14:textId="77777777" w:rsidR="0065555D" w:rsidRPr="007D4CAC" w:rsidRDefault="0065555D" w:rsidP="00FB3903">
            <w:pPr>
              <w:spacing w:line="240" w:lineRule="auto"/>
              <w:jc w:val="center"/>
            </w:pPr>
            <w:r w:rsidRPr="007D4CAC">
              <w:t>2.36</w:t>
            </w:r>
          </w:p>
        </w:tc>
        <w:tc>
          <w:tcPr>
            <w:tcW w:w="960" w:type="dxa"/>
            <w:tcBorders>
              <w:top w:val="nil"/>
              <w:left w:val="nil"/>
              <w:bottom w:val="nil"/>
              <w:right w:val="nil"/>
            </w:tcBorders>
            <w:shd w:val="clear" w:color="auto" w:fill="auto"/>
            <w:noWrap/>
            <w:vAlign w:val="center"/>
          </w:tcPr>
          <w:p w14:paraId="7E13777D" w14:textId="77777777" w:rsidR="0065555D" w:rsidRPr="007D4CAC" w:rsidRDefault="0065555D" w:rsidP="00FB3903">
            <w:pPr>
              <w:spacing w:line="240" w:lineRule="auto"/>
              <w:jc w:val="center"/>
            </w:pPr>
            <w:r w:rsidRPr="007D4CAC">
              <w:t>0.1262</w:t>
            </w:r>
          </w:p>
        </w:tc>
      </w:tr>
      <w:tr w:rsidR="0065555D" w:rsidRPr="004A1AA7" w14:paraId="45BE8210" w14:textId="77777777" w:rsidTr="00FB3903">
        <w:trPr>
          <w:trHeight w:val="264"/>
        </w:trPr>
        <w:tc>
          <w:tcPr>
            <w:tcW w:w="1270" w:type="dxa"/>
            <w:tcBorders>
              <w:top w:val="nil"/>
              <w:left w:val="nil"/>
              <w:bottom w:val="nil"/>
              <w:right w:val="nil"/>
            </w:tcBorders>
            <w:shd w:val="clear" w:color="auto" w:fill="auto"/>
            <w:noWrap/>
            <w:vAlign w:val="bottom"/>
            <w:hideMark/>
          </w:tcPr>
          <w:p w14:paraId="51A1CA92" w14:textId="77777777" w:rsidR="0065555D" w:rsidRPr="004A1AA7" w:rsidRDefault="0065555D" w:rsidP="00FB3903">
            <w:pPr>
              <w:spacing w:after="0" w:line="240" w:lineRule="auto"/>
              <w:jc w:val="center"/>
              <w:rPr>
                <w:rFonts w:eastAsia="Times New Roman" w:cs="Times New Roman"/>
                <w:szCs w:val="24"/>
              </w:rPr>
            </w:pPr>
            <w:r w:rsidRPr="004A1AA7">
              <w:rPr>
                <w:rFonts w:eastAsia="Times New Roman" w:cs="Times New Roman"/>
                <w:szCs w:val="24"/>
              </w:rPr>
              <w:t>3</w:t>
            </w:r>
          </w:p>
        </w:tc>
        <w:tc>
          <w:tcPr>
            <w:tcW w:w="960" w:type="dxa"/>
            <w:tcBorders>
              <w:top w:val="nil"/>
              <w:left w:val="nil"/>
              <w:bottom w:val="nil"/>
              <w:right w:val="nil"/>
            </w:tcBorders>
            <w:shd w:val="clear" w:color="auto" w:fill="auto"/>
            <w:noWrap/>
            <w:vAlign w:val="center"/>
          </w:tcPr>
          <w:p w14:paraId="46E5227F" w14:textId="77777777" w:rsidR="0065555D" w:rsidRPr="007D4CAC" w:rsidRDefault="0065555D" w:rsidP="00FB3903">
            <w:pPr>
              <w:spacing w:line="240" w:lineRule="auto"/>
              <w:jc w:val="center"/>
            </w:pPr>
            <w:r w:rsidRPr="007D4CAC">
              <w:t>0.09</w:t>
            </w:r>
          </w:p>
        </w:tc>
        <w:tc>
          <w:tcPr>
            <w:tcW w:w="960" w:type="dxa"/>
            <w:tcBorders>
              <w:top w:val="nil"/>
              <w:left w:val="nil"/>
              <w:bottom w:val="nil"/>
              <w:right w:val="nil"/>
            </w:tcBorders>
            <w:shd w:val="clear" w:color="auto" w:fill="auto"/>
            <w:noWrap/>
            <w:vAlign w:val="center"/>
          </w:tcPr>
          <w:p w14:paraId="5F694BB6" w14:textId="77777777" w:rsidR="0065555D" w:rsidRPr="007D4CAC" w:rsidRDefault="0065555D" w:rsidP="00FB3903">
            <w:pPr>
              <w:spacing w:line="240" w:lineRule="auto"/>
              <w:jc w:val="center"/>
            </w:pPr>
            <w:r w:rsidRPr="007D4CAC">
              <w:t>0.7603</w:t>
            </w:r>
          </w:p>
        </w:tc>
        <w:tc>
          <w:tcPr>
            <w:tcW w:w="960" w:type="dxa"/>
            <w:tcBorders>
              <w:top w:val="nil"/>
              <w:left w:val="nil"/>
              <w:bottom w:val="nil"/>
              <w:right w:val="nil"/>
            </w:tcBorders>
            <w:shd w:val="clear" w:color="auto" w:fill="auto"/>
            <w:noWrap/>
            <w:vAlign w:val="center"/>
          </w:tcPr>
          <w:p w14:paraId="658A5C55" w14:textId="77777777" w:rsidR="0065555D" w:rsidRPr="007D4CAC" w:rsidRDefault="0065555D" w:rsidP="00FB3903">
            <w:pPr>
              <w:spacing w:line="240" w:lineRule="auto"/>
              <w:jc w:val="center"/>
            </w:pPr>
            <w:r w:rsidRPr="007D4CAC">
              <w:t>2.04</w:t>
            </w:r>
          </w:p>
        </w:tc>
        <w:tc>
          <w:tcPr>
            <w:tcW w:w="960" w:type="dxa"/>
            <w:tcBorders>
              <w:top w:val="nil"/>
              <w:left w:val="nil"/>
              <w:bottom w:val="nil"/>
              <w:right w:val="nil"/>
            </w:tcBorders>
            <w:shd w:val="clear" w:color="auto" w:fill="auto"/>
            <w:noWrap/>
            <w:vAlign w:val="center"/>
          </w:tcPr>
          <w:p w14:paraId="08051335" w14:textId="77777777" w:rsidR="0065555D" w:rsidRPr="007D4CAC" w:rsidRDefault="0065555D" w:rsidP="00FB3903">
            <w:pPr>
              <w:spacing w:line="240" w:lineRule="auto"/>
              <w:jc w:val="center"/>
            </w:pPr>
            <w:r w:rsidRPr="007D4CAC">
              <w:t>0.1551</w:t>
            </w:r>
          </w:p>
        </w:tc>
      </w:tr>
      <w:tr w:rsidR="0065555D" w:rsidRPr="004A1AA7" w14:paraId="63A8C995" w14:textId="77777777" w:rsidTr="00FB3903">
        <w:trPr>
          <w:trHeight w:val="264"/>
        </w:trPr>
        <w:tc>
          <w:tcPr>
            <w:tcW w:w="1270" w:type="dxa"/>
            <w:tcBorders>
              <w:top w:val="nil"/>
              <w:left w:val="nil"/>
              <w:bottom w:val="nil"/>
              <w:right w:val="nil"/>
            </w:tcBorders>
            <w:shd w:val="clear" w:color="auto" w:fill="auto"/>
            <w:noWrap/>
            <w:vAlign w:val="bottom"/>
            <w:hideMark/>
          </w:tcPr>
          <w:p w14:paraId="3890874A" w14:textId="77777777" w:rsidR="0065555D" w:rsidRPr="004A1AA7" w:rsidRDefault="0065555D" w:rsidP="00FB3903">
            <w:pPr>
              <w:spacing w:after="0" w:line="240" w:lineRule="auto"/>
              <w:jc w:val="center"/>
              <w:rPr>
                <w:rFonts w:eastAsia="Times New Roman" w:cs="Times New Roman"/>
                <w:szCs w:val="24"/>
              </w:rPr>
            </w:pPr>
            <w:r w:rsidRPr="004A1AA7">
              <w:rPr>
                <w:rFonts w:eastAsia="Times New Roman" w:cs="Times New Roman"/>
                <w:szCs w:val="24"/>
              </w:rPr>
              <w:t>4</w:t>
            </w:r>
          </w:p>
        </w:tc>
        <w:tc>
          <w:tcPr>
            <w:tcW w:w="960" w:type="dxa"/>
            <w:tcBorders>
              <w:top w:val="nil"/>
              <w:left w:val="nil"/>
              <w:bottom w:val="nil"/>
              <w:right w:val="nil"/>
            </w:tcBorders>
            <w:shd w:val="clear" w:color="auto" w:fill="auto"/>
            <w:noWrap/>
            <w:vAlign w:val="center"/>
          </w:tcPr>
          <w:p w14:paraId="1BA2F5CE" w14:textId="77777777" w:rsidR="0065555D" w:rsidRPr="007D4CAC" w:rsidRDefault="0065555D" w:rsidP="00FB3903">
            <w:pPr>
              <w:spacing w:line="240" w:lineRule="auto"/>
              <w:jc w:val="center"/>
            </w:pPr>
            <w:r w:rsidRPr="007D4CAC">
              <w:t>0.57</w:t>
            </w:r>
          </w:p>
        </w:tc>
        <w:tc>
          <w:tcPr>
            <w:tcW w:w="960" w:type="dxa"/>
            <w:tcBorders>
              <w:top w:val="nil"/>
              <w:left w:val="nil"/>
              <w:bottom w:val="nil"/>
              <w:right w:val="nil"/>
            </w:tcBorders>
            <w:shd w:val="clear" w:color="auto" w:fill="auto"/>
            <w:noWrap/>
            <w:vAlign w:val="center"/>
          </w:tcPr>
          <w:p w14:paraId="55BCA418" w14:textId="77777777" w:rsidR="0065555D" w:rsidRPr="007D4CAC" w:rsidRDefault="0065555D" w:rsidP="00FB3903">
            <w:pPr>
              <w:spacing w:line="240" w:lineRule="auto"/>
              <w:jc w:val="center"/>
            </w:pPr>
            <w:r w:rsidRPr="007D4CAC">
              <w:t>0.4523</w:t>
            </w:r>
          </w:p>
        </w:tc>
        <w:tc>
          <w:tcPr>
            <w:tcW w:w="960" w:type="dxa"/>
            <w:tcBorders>
              <w:top w:val="nil"/>
              <w:left w:val="nil"/>
              <w:right w:val="nil"/>
            </w:tcBorders>
            <w:shd w:val="clear" w:color="auto" w:fill="auto"/>
            <w:noWrap/>
            <w:vAlign w:val="center"/>
          </w:tcPr>
          <w:p w14:paraId="40F018C4" w14:textId="77777777" w:rsidR="0065555D" w:rsidRPr="007D4CAC" w:rsidRDefault="0065555D" w:rsidP="00FB3903">
            <w:pPr>
              <w:spacing w:line="240" w:lineRule="auto"/>
              <w:jc w:val="center"/>
            </w:pPr>
            <w:r w:rsidRPr="007D4CAC">
              <w:t>0.09</w:t>
            </w:r>
          </w:p>
        </w:tc>
        <w:tc>
          <w:tcPr>
            <w:tcW w:w="960" w:type="dxa"/>
            <w:tcBorders>
              <w:top w:val="nil"/>
              <w:left w:val="nil"/>
              <w:right w:val="nil"/>
            </w:tcBorders>
            <w:shd w:val="clear" w:color="auto" w:fill="auto"/>
            <w:noWrap/>
            <w:vAlign w:val="center"/>
          </w:tcPr>
          <w:p w14:paraId="55F2EE32" w14:textId="77777777" w:rsidR="0065555D" w:rsidRPr="007D4CAC" w:rsidRDefault="0065555D" w:rsidP="00FB3903">
            <w:pPr>
              <w:spacing w:line="240" w:lineRule="auto"/>
              <w:jc w:val="center"/>
            </w:pPr>
            <w:r w:rsidRPr="007D4CAC">
              <w:t>0.7689</w:t>
            </w:r>
          </w:p>
        </w:tc>
      </w:tr>
      <w:tr w:rsidR="0065555D" w:rsidRPr="004A1AA7" w14:paraId="06DF2588" w14:textId="77777777" w:rsidTr="00FB3903">
        <w:trPr>
          <w:trHeight w:val="264"/>
        </w:trPr>
        <w:tc>
          <w:tcPr>
            <w:tcW w:w="1270" w:type="dxa"/>
            <w:tcBorders>
              <w:top w:val="nil"/>
              <w:left w:val="nil"/>
              <w:bottom w:val="single" w:sz="4" w:space="0" w:color="auto"/>
              <w:right w:val="nil"/>
            </w:tcBorders>
            <w:shd w:val="clear" w:color="auto" w:fill="auto"/>
            <w:noWrap/>
            <w:vAlign w:val="bottom"/>
            <w:hideMark/>
          </w:tcPr>
          <w:p w14:paraId="5D4A35AA" w14:textId="77777777" w:rsidR="0065555D" w:rsidRPr="004A1AA7" w:rsidRDefault="0065555D" w:rsidP="00FB3903">
            <w:pPr>
              <w:spacing w:after="0" w:line="240" w:lineRule="auto"/>
              <w:jc w:val="center"/>
              <w:rPr>
                <w:rFonts w:eastAsia="Times New Roman" w:cs="Times New Roman"/>
                <w:szCs w:val="24"/>
              </w:rPr>
            </w:pPr>
            <w:r w:rsidRPr="004A1AA7">
              <w:rPr>
                <w:rFonts w:eastAsia="Times New Roman" w:cs="Times New Roman"/>
                <w:szCs w:val="24"/>
              </w:rPr>
              <w:t>5</w:t>
            </w:r>
          </w:p>
        </w:tc>
        <w:tc>
          <w:tcPr>
            <w:tcW w:w="960" w:type="dxa"/>
            <w:tcBorders>
              <w:top w:val="nil"/>
              <w:left w:val="nil"/>
              <w:bottom w:val="single" w:sz="4" w:space="0" w:color="auto"/>
              <w:right w:val="nil"/>
            </w:tcBorders>
            <w:shd w:val="clear" w:color="auto" w:fill="auto"/>
            <w:noWrap/>
            <w:vAlign w:val="center"/>
          </w:tcPr>
          <w:p w14:paraId="02F9A11D" w14:textId="77777777" w:rsidR="0065555D" w:rsidRPr="007D4CAC" w:rsidRDefault="0065555D" w:rsidP="00FB3903">
            <w:pPr>
              <w:spacing w:line="240" w:lineRule="auto"/>
              <w:jc w:val="center"/>
            </w:pPr>
            <w:r w:rsidRPr="007D4CAC">
              <w:t>0.05</w:t>
            </w:r>
          </w:p>
        </w:tc>
        <w:tc>
          <w:tcPr>
            <w:tcW w:w="960" w:type="dxa"/>
            <w:tcBorders>
              <w:top w:val="nil"/>
              <w:left w:val="nil"/>
              <w:bottom w:val="single" w:sz="4" w:space="0" w:color="auto"/>
              <w:right w:val="nil"/>
            </w:tcBorders>
            <w:shd w:val="clear" w:color="auto" w:fill="auto"/>
            <w:noWrap/>
            <w:vAlign w:val="center"/>
          </w:tcPr>
          <w:p w14:paraId="3DA68DA8" w14:textId="77777777" w:rsidR="0065555D" w:rsidRPr="007D4CAC" w:rsidRDefault="0065555D" w:rsidP="00FB3903">
            <w:pPr>
              <w:spacing w:line="240" w:lineRule="auto"/>
              <w:jc w:val="center"/>
            </w:pPr>
            <w:r w:rsidRPr="007D4CAC">
              <w:t>0.8257</w:t>
            </w:r>
          </w:p>
        </w:tc>
        <w:tc>
          <w:tcPr>
            <w:tcW w:w="960" w:type="dxa"/>
            <w:tcBorders>
              <w:top w:val="nil"/>
              <w:left w:val="nil"/>
              <w:bottom w:val="single" w:sz="4" w:space="0" w:color="auto"/>
              <w:right w:val="nil"/>
            </w:tcBorders>
            <w:shd w:val="clear" w:color="auto" w:fill="auto"/>
            <w:noWrap/>
            <w:vAlign w:val="center"/>
          </w:tcPr>
          <w:p w14:paraId="399541BF" w14:textId="77777777" w:rsidR="0065555D" w:rsidRPr="007D4CAC" w:rsidRDefault="0065555D" w:rsidP="00FB3903">
            <w:pPr>
              <w:spacing w:line="240" w:lineRule="auto"/>
              <w:jc w:val="center"/>
            </w:pPr>
            <w:r w:rsidRPr="007D4CAC">
              <w:t>0.01</w:t>
            </w:r>
          </w:p>
        </w:tc>
        <w:tc>
          <w:tcPr>
            <w:tcW w:w="960" w:type="dxa"/>
            <w:tcBorders>
              <w:top w:val="nil"/>
              <w:left w:val="nil"/>
              <w:bottom w:val="single" w:sz="4" w:space="0" w:color="auto"/>
              <w:right w:val="nil"/>
            </w:tcBorders>
            <w:shd w:val="clear" w:color="auto" w:fill="auto"/>
            <w:noWrap/>
            <w:vAlign w:val="center"/>
          </w:tcPr>
          <w:p w14:paraId="2E081374" w14:textId="77777777" w:rsidR="0065555D" w:rsidRDefault="0065555D" w:rsidP="00FB3903">
            <w:pPr>
              <w:spacing w:line="240" w:lineRule="auto"/>
              <w:jc w:val="center"/>
            </w:pPr>
            <w:r w:rsidRPr="007D4CAC">
              <w:t>0.9267</w:t>
            </w:r>
          </w:p>
        </w:tc>
      </w:tr>
    </w:tbl>
    <w:p w14:paraId="39AF8476" w14:textId="77777777" w:rsidR="0065555D" w:rsidRDefault="0065555D" w:rsidP="00FB3903">
      <w:pPr>
        <w:spacing w:line="240" w:lineRule="auto"/>
      </w:pPr>
    </w:p>
    <w:p w14:paraId="1D79633C" w14:textId="77777777" w:rsidR="0065555D" w:rsidRDefault="0065555D" w:rsidP="00FB3903">
      <w:pPr>
        <w:spacing w:line="240" w:lineRule="auto"/>
      </w:pPr>
      <w:r>
        <w:t xml:space="preserve">Tests for Panel B of Table </w:t>
      </w:r>
      <w:r>
        <w:rPr>
          <w:noProof/>
        </w:rPr>
        <w:t>6</w:t>
      </w:r>
    </w:p>
    <w:tbl>
      <w:tblPr>
        <w:tblW w:w="5110" w:type="dxa"/>
        <w:tblLook w:val="04A0" w:firstRow="1" w:lastRow="0" w:firstColumn="1" w:lastColumn="0" w:noHBand="0" w:noVBand="1"/>
      </w:tblPr>
      <w:tblGrid>
        <w:gridCol w:w="1270"/>
        <w:gridCol w:w="960"/>
        <w:gridCol w:w="960"/>
        <w:gridCol w:w="960"/>
        <w:gridCol w:w="960"/>
      </w:tblGrid>
      <w:tr w:rsidR="0065555D" w:rsidRPr="004A1AA7" w14:paraId="2D31E803" w14:textId="77777777" w:rsidTr="00FB3903">
        <w:trPr>
          <w:trHeight w:val="264"/>
        </w:trPr>
        <w:tc>
          <w:tcPr>
            <w:tcW w:w="1270" w:type="dxa"/>
            <w:tcBorders>
              <w:top w:val="single" w:sz="4" w:space="0" w:color="auto"/>
              <w:left w:val="nil"/>
              <w:right w:val="nil"/>
            </w:tcBorders>
            <w:shd w:val="clear" w:color="auto" w:fill="auto"/>
            <w:noWrap/>
            <w:vAlign w:val="bottom"/>
          </w:tcPr>
          <w:p w14:paraId="54E0A965" w14:textId="77777777" w:rsidR="0065555D" w:rsidRPr="004A1AA7" w:rsidRDefault="0065555D" w:rsidP="00FB3903">
            <w:pPr>
              <w:spacing w:after="0" w:line="240" w:lineRule="auto"/>
              <w:rPr>
                <w:rFonts w:eastAsia="Times New Roman" w:cs="Times New Roman"/>
                <w:szCs w:val="24"/>
              </w:rPr>
            </w:pPr>
          </w:p>
        </w:tc>
        <w:tc>
          <w:tcPr>
            <w:tcW w:w="1920" w:type="dxa"/>
            <w:gridSpan w:val="2"/>
            <w:tcBorders>
              <w:top w:val="single" w:sz="4" w:space="0" w:color="auto"/>
              <w:left w:val="nil"/>
              <w:bottom w:val="single" w:sz="4" w:space="0" w:color="auto"/>
              <w:right w:val="nil"/>
            </w:tcBorders>
            <w:shd w:val="clear" w:color="auto" w:fill="auto"/>
            <w:noWrap/>
            <w:vAlign w:val="bottom"/>
          </w:tcPr>
          <w:p w14:paraId="49CF7529" w14:textId="77777777" w:rsidR="0065555D" w:rsidRPr="004A1AA7" w:rsidRDefault="0065555D" w:rsidP="00FB3903">
            <w:pPr>
              <w:spacing w:after="0" w:line="240" w:lineRule="auto"/>
              <w:jc w:val="center"/>
              <w:rPr>
                <w:rFonts w:eastAsia="Times New Roman" w:cs="Times New Roman"/>
                <w:szCs w:val="24"/>
              </w:rPr>
            </w:pPr>
            <w:r w:rsidRPr="004A1AA7">
              <w:rPr>
                <w:rFonts w:eastAsia="Times New Roman" w:cs="Times New Roman"/>
                <w:szCs w:val="24"/>
              </w:rPr>
              <w:t>L1% Dummies</w:t>
            </w:r>
          </w:p>
        </w:tc>
        <w:tc>
          <w:tcPr>
            <w:tcW w:w="1920" w:type="dxa"/>
            <w:gridSpan w:val="2"/>
            <w:tcBorders>
              <w:top w:val="single" w:sz="4" w:space="0" w:color="auto"/>
              <w:left w:val="nil"/>
              <w:bottom w:val="single" w:sz="4" w:space="0" w:color="auto"/>
              <w:right w:val="nil"/>
            </w:tcBorders>
            <w:shd w:val="clear" w:color="auto" w:fill="auto"/>
            <w:noWrap/>
            <w:vAlign w:val="bottom"/>
          </w:tcPr>
          <w:p w14:paraId="36CE8E32" w14:textId="77777777" w:rsidR="0065555D" w:rsidRPr="004A1AA7" w:rsidRDefault="0065555D" w:rsidP="00FB3903">
            <w:pPr>
              <w:spacing w:after="0" w:line="240" w:lineRule="auto"/>
              <w:jc w:val="center"/>
              <w:rPr>
                <w:rFonts w:eastAsia="Times New Roman" w:cs="Times New Roman"/>
                <w:szCs w:val="24"/>
              </w:rPr>
            </w:pPr>
            <w:r w:rsidRPr="004A1AA7">
              <w:rPr>
                <w:rFonts w:eastAsia="Times New Roman" w:cs="Times New Roman"/>
                <w:szCs w:val="24"/>
              </w:rPr>
              <w:t>HHI Dummies</w:t>
            </w:r>
          </w:p>
        </w:tc>
      </w:tr>
      <w:tr w:rsidR="0065555D" w:rsidRPr="004A1AA7" w14:paraId="26695A31" w14:textId="77777777" w:rsidTr="00FB3903">
        <w:trPr>
          <w:trHeight w:val="264"/>
        </w:trPr>
        <w:tc>
          <w:tcPr>
            <w:tcW w:w="1270" w:type="dxa"/>
            <w:tcBorders>
              <w:left w:val="nil"/>
              <w:bottom w:val="single" w:sz="4" w:space="0" w:color="auto"/>
              <w:right w:val="nil"/>
            </w:tcBorders>
            <w:shd w:val="clear" w:color="auto" w:fill="auto"/>
            <w:noWrap/>
            <w:vAlign w:val="bottom"/>
            <w:hideMark/>
          </w:tcPr>
          <w:p w14:paraId="6E9E7861" w14:textId="77777777" w:rsidR="0065555D" w:rsidRPr="004A1AA7" w:rsidRDefault="0065555D" w:rsidP="00FB3903">
            <w:pPr>
              <w:spacing w:after="0" w:line="240" w:lineRule="auto"/>
              <w:rPr>
                <w:rFonts w:eastAsia="Times New Roman" w:cs="Times New Roman"/>
                <w:szCs w:val="24"/>
              </w:rPr>
            </w:pPr>
            <w:r w:rsidRPr="004A1AA7">
              <w:rPr>
                <w:rFonts w:eastAsia="Times New Roman" w:cs="Times New Roman"/>
                <w:szCs w:val="24"/>
              </w:rPr>
              <w:t>Restriction</w:t>
            </w:r>
          </w:p>
        </w:tc>
        <w:tc>
          <w:tcPr>
            <w:tcW w:w="960" w:type="dxa"/>
            <w:tcBorders>
              <w:top w:val="single" w:sz="4" w:space="0" w:color="auto"/>
              <w:left w:val="nil"/>
              <w:bottom w:val="single" w:sz="4" w:space="0" w:color="auto"/>
              <w:right w:val="nil"/>
            </w:tcBorders>
            <w:shd w:val="clear" w:color="auto" w:fill="auto"/>
            <w:noWrap/>
            <w:vAlign w:val="bottom"/>
            <w:hideMark/>
          </w:tcPr>
          <w:p w14:paraId="507D1168" w14:textId="77777777" w:rsidR="0065555D" w:rsidRPr="004A1AA7" w:rsidRDefault="0065555D" w:rsidP="00FB3903">
            <w:pPr>
              <w:spacing w:after="0" w:line="240" w:lineRule="auto"/>
              <w:jc w:val="center"/>
              <w:rPr>
                <w:rFonts w:eastAsia="Times New Roman" w:cs="Times New Roman"/>
                <w:szCs w:val="24"/>
              </w:rPr>
            </w:pPr>
            <w:r w:rsidRPr="004A1AA7">
              <w:rPr>
                <w:rFonts w:eastAsia="Times New Roman" w:cs="Times New Roman"/>
                <w:szCs w:val="24"/>
              </w:rPr>
              <w:t>chi</w:t>
            </w:r>
            <w:r w:rsidRPr="004A1AA7">
              <w:rPr>
                <w:rFonts w:eastAsia="Times New Roman" w:cs="Times New Roman"/>
                <w:szCs w:val="24"/>
                <w:vertAlign w:val="superscript"/>
              </w:rPr>
              <w:t>2</w:t>
            </w:r>
          </w:p>
        </w:tc>
        <w:tc>
          <w:tcPr>
            <w:tcW w:w="960" w:type="dxa"/>
            <w:tcBorders>
              <w:top w:val="single" w:sz="4" w:space="0" w:color="auto"/>
              <w:left w:val="nil"/>
              <w:bottom w:val="single" w:sz="4" w:space="0" w:color="auto"/>
              <w:right w:val="nil"/>
            </w:tcBorders>
            <w:shd w:val="clear" w:color="auto" w:fill="auto"/>
            <w:noWrap/>
            <w:vAlign w:val="bottom"/>
            <w:hideMark/>
          </w:tcPr>
          <w:p w14:paraId="69119979" w14:textId="77777777" w:rsidR="0065555D" w:rsidRPr="004A1AA7" w:rsidRDefault="0065555D" w:rsidP="00FB3903">
            <w:pPr>
              <w:spacing w:after="0" w:line="240" w:lineRule="auto"/>
              <w:jc w:val="center"/>
              <w:rPr>
                <w:rFonts w:eastAsia="Times New Roman" w:cs="Times New Roman"/>
                <w:szCs w:val="24"/>
              </w:rPr>
            </w:pPr>
            <w:r w:rsidRPr="004A1AA7">
              <w:rPr>
                <w:rFonts w:eastAsia="Times New Roman" w:cs="Times New Roman"/>
                <w:szCs w:val="24"/>
              </w:rPr>
              <w:t>p-val</w:t>
            </w:r>
          </w:p>
        </w:tc>
        <w:tc>
          <w:tcPr>
            <w:tcW w:w="960" w:type="dxa"/>
            <w:tcBorders>
              <w:top w:val="single" w:sz="4" w:space="0" w:color="auto"/>
              <w:left w:val="nil"/>
              <w:bottom w:val="single" w:sz="4" w:space="0" w:color="auto"/>
              <w:right w:val="nil"/>
            </w:tcBorders>
            <w:shd w:val="clear" w:color="auto" w:fill="auto"/>
            <w:noWrap/>
            <w:vAlign w:val="bottom"/>
            <w:hideMark/>
          </w:tcPr>
          <w:p w14:paraId="633996DD" w14:textId="77777777" w:rsidR="0065555D" w:rsidRPr="004A1AA7" w:rsidRDefault="0065555D" w:rsidP="00FB3903">
            <w:pPr>
              <w:spacing w:after="0" w:line="240" w:lineRule="auto"/>
              <w:jc w:val="center"/>
              <w:rPr>
                <w:rFonts w:eastAsia="Times New Roman" w:cs="Times New Roman"/>
                <w:szCs w:val="24"/>
              </w:rPr>
            </w:pPr>
            <w:r w:rsidRPr="004A1AA7">
              <w:rPr>
                <w:rFonts w:eastAsia="Times New Roman" w:cs="Times New Roman"/>
                <w:szCs w:val="24"/>
              </w:rPr>
              <w:t>chi</w:t>
            </w:r>
            <w:r w:rsidRPr="004A1AA7">
              <w:rPr>
                <w:rFonts w:eastAsia="Times New Roman" w:cs="Times New Roman"/>
                <w:szCs w:val="24"/>
                <w:vertAlign w:val="superscript"/>
              </w:rPr>
              <w:t>2</w:t>
            </w:r>
          </w:p>
        </w:tc>
        <w:tc>
          <w:tcPr>
            <w:tcW w:w="960" w:type="dxa"/>
            <w:tcBorders>
              <w:top w:val="single" w:sz="4" w:space="0" w:color="auto"/>
              <w:left w:val="nil"/>
              <w:bottom w:val="single" w:sz="4" w:space="0" w:color="auto"/>
              <w:right w:val="nil"/>
            </w:tcBorders>
            <w:shd w:val="clear" w:color="auto" w:fill="auto"/>
            <w:noWrap/>
            <w:vAlign w:val="bottom"/>
            <w:hideMark/>
          </w:tcPr>
          <w:p w14:paraId="335D894F" w14:textId="77777777" w:rsidR="0065555D" w:rsidRPr="004A1AA7" w:rsidRDefault="0065555D" w:rsidP="00FB3903">
            <w:pPr>
              <w:spacing w:after="0" w:line="240" w:lineRule="auto"/>
              <w:jc w:val="center"/>
              <w:rPr>
                <w:rFonts w:eastAsia="Times New Roman" w:cs="Times New Roman"/>
                <w:szCs w:val="24"/>
              </w:rPr>
            </w:pPr>
            <w:r w:rsidRPr="004A1AA7">
              <w:rPr>
                <w:rFonts w:eastAsia="Times New Roman" w:cs="Times New Roman"/>
                <w:szCs w:val="24"/>
              </w:rPr>
              <w:t>p-val</w:t>
            </w:r>
          </w:p>
        </w:tc>
      </w:tr>
      <w:tr w:rsidR="0065555D" w:rsidRPr="004A1AA7" w14:paraId="27BBAA59" w14:textId="77777777" w:rsidTr="00FB3903">
        <w:trPr>
          <w:trHeight w:val="264"/>
        </w:trPr>
        <w:tc>
          <w:tcPr>
            <w:tcW w:w="1270" w:type="dxa"/>
            <w:tcBorders>
              <w:top w:val="single" w:sz="4" w:space="0" w:color="auto"/>
              <w:left w:val="nil"/>
              <w:bottom w:val="nil"/>
              <w:right w:val="nil"/>
            </w:tcBorders>
            <w:shd w:val="clear" w:color="auto" w:fill="auto"/>
            <w:noWrap/>
            <w:vAlign w:val="bottom"/>
            <w:hideMark/>
          </w:tcPr>
          <w:p w14:paraId="32B5D002" w14:textId="77777777" w:rsidR="0065555D" w:rsidRPr="004A1AA7" w:rsidRDefault="0065555D" w:rsidP="00FB3903">
            <w:pPr>
              <w:spacing w:after="0" w:line="240" w:lineRule="auto"/>
              <w:jc w:val="center"/>
              <w:rPr>
                <w:rFonts w:eastAsia="Times New Roman" w:cs="Times New Roman"/>
                <w:szCs w:val="24"/>
              </w:rPr>
            </w:pPr>
            <w:r w:rsidRPr="004A1AA7">
              <w:rPr>
                <w:rFonts w:eastAsia="Times New Roman" w:cs="Times New Roman"/>
                <w:szCs w:val="24"/>
              </w:rPr>
              <w:t>1</w:t>
            </w:r>
          </w:p>
        </w:tc>
        <w:tc>
          <w:tcPr>
            <w:tcW w:w="960" w:type="dxa"/>
            <w:tcBorders>
              <w:top w:val="single" w:sz="4" w:space="0" w:color="auto"/>
              <w:left w:val="nil"/>
              <w:bottom w:val="nil"/>
              <w:right w:val="nil"/>
            </w:tcBorders>
            <w:shd w:val="clear" w:color="auto" w:fill="auto"/>
            <w:noWrap/>
            <w:hideMark/>
          </w:tcPr>
          <w:p w14:paraId="03F9BE23" w14:textId="77777777" w:rsidR="0065555D" w:rsidRPr="005A3D9A" w:rsidRDefault="0065555D" w:rsidP="00FB3903">
            <w:pPr>
              <w:spacing w:line="240" w:lineRule="auto"/>
              <w:jc w:val="center"/>
            </w:pPr>
            <w:r w:rsidRPr="005A3D9A">
              <w:t>13.60</w:t>
            </w:r>
          </w:p>
        </w:tc>
        <w:tc>
          <w:tcPr>
            <w:tcW w:w="960" w:type="dxa"/>
            <w:tcBorders>
              <w:top w:val="single" w:sz="4" w:space="0" w:color="auto"/>
              <w:left w:val="nil"/>
              <w:bottom w:val="nil"/>
              <w:right w:val="nil"/>
            </w:tcBorders>
            <w:shd w:val="clear" w:color="auto" w:fill="auto"/>
            <w:noWrap/>
            <w:hideMark/>
          </w:tcPr>
          <w:p w14:paraId="1EFFFD4A" w14:textId="77777777" w:rsidR="0065555D" w:rsidRPr="005A3D9A" w:rsidRDefault="0065555D" w:rsidP="00FB3903">
            <w:pPr>
              <w:spacing w:line="240" w:lineRule="auto"/>
              <w:jc w:val="center"/>
            </w:pPr>
            <w:r w:rsidRPr="005A3D9A">
              <w:t>0.0002</w:t>
            </w:r>
          </w:p>
        </w:tc>
        <w:tc>
          <w:tcPr>
            <w:tcW w:w="960" w:type="dxa"/>
            <w:tcBorders>
              <w:top w:val="single" w:sz="4" w:space="0" w:color="auto"/>
              <w:left w:val="nil"/>
              <w:bottom w:val="nil"/>
              <w:right w:val="nil"/>
            </w:tcBorders>
            <w:shd w:val="clear" w:color="auto" w:fill="auto"/>
            <w:noWrap/>
            <w:hideMark/>
          </w:tcPr>
          <w:p w14:paraId="5DA4B8AD" w14:textId="77777777" w:rsidR="0065555D" w:rsidRPr="005A3D9A" w:rsidRDefault="0065555D" w:rsidP="00FB3903">
            <w:pPr>
              <w:spacing w:line="240" w:lineRule="auto"/>
              <w:jc w:val="center"/>
            </w:pPr>
            <w:r w:rsidRPr="005A3D9A">
              <w:t>12.46</w:t>
            </w:r>
          </w:p>
        </w:tc>
        <w:tc>
          <w:tcPr>
            <w:tcW w:w="960" w:type="dxa"/>
            <w:tcBorders>
              <w:top w:val="single" w:sz="4" w:space="0" w:color="auto"/>
              <w:left w:val="nil"/>
              <w:bottom w:val="nil"/>
              <w:right w:val="nil"/>
            </w:tcBorders>
            <w:shd w:val="clear" w:color="auto" w:fill="auto"/>
            <w:noWrap/>
            <w:hideMark/>
          </w:tcPr>
          <w:p w14:paraId="134DB8EA" w14:textId="77777777" w:rsidR="0065555D" w:rsidRPr="005A3D9A" w:rsidRDefault="0065555D" w:rsidP="00FB3903">
            <w:pPr>
              <w:spacing w:line="240" w:lineRule="auto"/>
              <w:jc w:val="center"/>
            </w:pPr>
            <w:r w:rsidRPr="005A3D9A">
              <w:t>0.0004</w:t>
            </w:r>
          </w:p>
        </w:tc>
      </w:tr>
      <w:tr w:rsidR="0065555D" w:rsidRPr="004A1AA7" w14:paraId="0AB4ECEF" w14:textId="77777777" w:rsidTr="00FB3903">
        <w:trPr>
          <w:trHeight w:val="264"/>
        </w:trPr>
        <w:tc>
          <w:tcPr>
            <w:tcW w:w="1270" w:type="dxa"/>
            <w:tcBorders>
              <w:top w:val="nil"/>
              <w:left w:val="nil"/>
              <w:bottom w:val="nil"/>
              <w:right w:val="nil"/>
            </w:tcBorders>
            <w:shd w:val="clear" w:color="auto" w:fill="auto"/>
            <w:noWrap/>
            <w:vAlign w:val="bottom"/>
            <w:hideMark/>
          </w:tcPr>
          <w:p w14:paraId="6582DACB" w14:textId="77777777" w:rsidR="0065555D" w:rsidRPr="004A1AA7" w:rsidRDefault="0065555D" w:rsidP="00FB3903">
            <w:pPr>
              <w:spacing w:after="0" w:line="240" w:lineRule="auto"/>
              <w:jc w:val="center"/>
              <w:rPr>
                <w:rFonts w:eastAsia="Times New Roman" w:cs="Times New Roman"/>
                <w:szCs w:val="24"/>
              </w:rPr>
            </w:pPr>
            <w:r w:rsidRPr="004A1AA7">
              <w:rPr>
                <w:rFonts w:eastAsia="Times New Roman" w:cs="Times New Roman"/>
                <w:szCs w:val="24"/>
              </w:rPr>
              <w:t>2</w:t>
            </w:r>
          </w:p>
        </w:tc>
        <w:tc>
          <w:tcPr>
            <w:tcW w:w="960" w:type="dxa"/>
            <w:tcBorders>
              <w:top w:val="nil"/>
              <w:left w:val="nil"/>
              <w:bottom w:val="nil"/>
              <w:right w:val="nil"/>
            </w:tcBorders>
            <w:shd w:val="clear" w:color="auto" w:fill="auto"/>
            <w:noWrap/>
            <w:hideMark/>
          </w:tcPr>
          <w:p w14:paraId="68107C01" w14:textId="77777777" w:rsidR="0065555D" w:rsidRPr="005A3D9A" w:rsidRDefault="0065555D" w:rsidP="00FB3903">
            <w:pPr>
              <w:spacing w:line="240" w:lineRule="auto"/>
              <w:jc w:val="center"/>
            </w:pPr>
            <w:r w:rsidRPr="005A3D9A">
              <w:t>3.73</w:t>
            </w:r>
          </w:p>
        </w:tc>
        <w:tc>
          <w:tcPr>
            <w:tcW w:w="960" w:type="dxa"/>
            <w:tcBorders>
              <w:top w:val="nil"/>
              <w:left w:val="nil"/>
              <w:bottom w:val="nil"/>
              <w:right w:val="nil"/>
            </w:tcBorders>
            <w:shd w:val="clear" w:color="auto" w:fill="auto"/>
            <w:noWrap/>
            <w:hideMark/>
          </w:tcPr>
          <w:p w14:paraId="5B721F88" w14:textId="77777777" w:rsidR="0065555D" w:rsidRPr="005A3D9A" w:rsidRDefault="0065555D" w:rsidP="00FB3903">
            <w:pPr>
              <w:spacing w:line="240" w:lineRule="auto"/>
              <w:jc w:val="center"/>
            </w:pPr>
            <w:r w:rsidRPr="005A3D9A">
              <w:t>0.0533</w:t>
            </w:r>
          </w:p>
        </w:tc>
        <w:tc>
          <w:tcPr>
            <w:tcW w:w="960" w:type="dxa"/>
            <w:tcBorders>
              <w:top w:val="nil"/>
              <w:left w:val="nil"/>
              <w:bottom w:val="nil"/>
              <w:right w:val="nil"/>
            </w:tcBorders>
            <w:shd w:val="clear" w:color="auto" w:fill="auto"/>
            <w:noWrap/>
            <w:hideMark/>
          </w:tcPr>
          <w:p w14:paraId="44309732" w14:textId="77777777" w:rsidR="0065555D" w:rsidRPr="005A3D9A" w:rsidRDefault="0065555D" w:rsidP="00FB3903">
            <w:pPr>
              <w:spacing w:line="240" w:lineRule="auto"/>
              <w:jc w:val="center"/>
            </w:pPr>
            <w:r w:rsidRPr="005A3D9A">
              <w:t>2.74</w:t>
            </w:r>
          </w:p>
        </w:tc>
        <w:tc>
          <w:tcPr>
            <w:tcW w:w="960" w:type="dxa"/>
            <w:tcBorders>
              <w:top w:val="nil"/>
              <w:left w:val="nil"/>
              <w:bottom w:val="nil"/>
              <w:right w:val="nil"/>
            </w:tcBorders>
            <w:shd w:val="clear" w:color="auto" w:fill="auto"/>
            <w:noWrap/>
            <w:hideMark/>
          </w:tcPr>
          <w:p w14:paraId="17253D7F" w14:textId="77777777" w:rsidR="0065555D" w:rsidRPr="005A3D9A" w:rsidRDefault="0065555D" w:rsidP="00FB3903">
            <w:pPr>
              <w:spacing w:line="240" w:lineRule="auto"/>
              <w:jc w:val="center"/>
            </w:pPr>
            <w:r w:rsidRPr="005A3D9A">
              <w:t>0.0976</w:t>
            </w:r>
          </w:p>
        </w:tc>
      </w:tr>
      <w:tr w:rsidR="0065555D" w:rsidRPr="004A1AA7" w14:paraId="70CD3CB8" w14:textId="77777777" w:rsidTr="00FB3903">
        <w:trPr>
          <w:trHeight w:val="264"/>
        </w:trPr>
        <w:tc>
          <w:tcPr>
            <w:tcW w:w="1270" w:type="dxa"/>
            <w:tcBorders>
              <w:top w:val="nil"/>
              <w:left w:val="nil"/>
              <w:bottom w:val="nil"/>
              <w:right w:val="nil"/>
            </w:tcBorders>
            <w:shd w:val="clear" w:color="auto" w:fill="auto"/>
            <w:noWrap/>
            <w:vAlign w:val="bottom"/>
            <w:hideMark/>
          </w:tcPr>
          <w:p w14:paraId="59F23E5A" w14:textId="77777777" w:rsidR="0065555D" w:rsidRPr="004A1AA7" w:rsidRDefault="0065555D" w:rsidP="00FB3903">
            <w:pPr>
              <w:spacing w:after="0" w:line="240" w:lineRule="auto"/>
              <w:jc w:val="center"/>
              <w:rPr>
                <w:rFonts w:eastAsia="Times New Roman" w:cs="Times New Roman"/>
                <w:szCs w:val="24"/>
              </w:rPr>
            </w:pPr>
            <w:r w:rsidRPr="004A1AA7">
              <w:rPr>
                <w:rFonts w:eastAsia="Times New Roman" w:cs="Times New Roman"/>
                <w:szCs w:val="24"/>
              </w:rPr>
              <w:t>3</w:t>
            </w:r>
          </w:p>
        </w:tc>
        <w:tc>
          <w:tcPr>
            <w:tcW w:w="960" w:type="dxa"/>
            <w:tcBorders>
              <w:top w:val="nil"/>
              <w:left w:val="nil"/>
              <w:bottom w:val="nil"/>
              <w:right w:val="nil"/>
            </w:tcBorders>
            <w:shd w:val="clear" w:color="auto" w:fill="auto"/>
            <w:noWrap/>
            <w:hideMark/>
          </w:tcPr>
          <w:p w14:paraId="3D4EDF02" w14:textId="77777777" w:rsidR="0065555D" w:rsidRPr="005A3D9A" w:rsidRDefault="0065555D" w:rsidP="00FB3903">
            <w:pPr>
              <w:spacing w:line="240" w:lineRule="auto"/>
              <w:jc w:val="center"/>
            </w:pPr>
            <w:r w:rsidRPr="005A3D9A">
              <w:t>0.09</w:t>
            </w:r>
          </w:p>
        </w:tc>
        <w:tc>
          <w:tcPr>
            <w:tcW w:w="960" w:type="dxa"/>
            <w:tcBorders>
              <w:top w:val="nil"/>
              <w:left w:val="nil"/>
              <w:bottom w:val="nil"/>
              <w:right w:val="nil"/>
            </w:tcBorders>
            <w:shd w:val="clear" w:color="auto" w:fill="auto"/>
            <w:noWrap/>
            <w:hideMark/>
          </w:tcPr>
          <w:p w14:paraId="15CE212D" w14:textId="77777777" w:rsidR="0065555D" w:rsidRPr="005A3D9A" w:rsidRDefault="0065555D" w:rsidP="00FB3903">
            <w:pPr>
              <w:spacing w:line="240" w:lineRule="auto"/>
              <w:jc w:val="center"/>
            </w:pPr>
            <w:r w:rsidRPr="005A3D9A">
              <w:t>0.7618</w:t>
            </w:r>
          </w:p>
        </w:tc>
        <w:tc>
          <w:tcPr>
            <w:tcW w:w="960" w:type="dxa"/>
            <w:tcBorders>
              <w:top w:val="nil"/>
              <w:left w:val="nil"/>
              <w:bottom w:val="nil"/>
              <w:right w:val="nil"/>
            </w:tcBorders>
            <w:shd w:val="clear" w:color="auto" w:fill="auto"/>
            <w:noWrap/>
            <w:hideMark/>
          </w:tcPr>
          <w:p w14:paraId="1FDB7FD6" w14:textId="77777777" w:rsidR="0065555D" w:rsidRPr="005A3D9A" w:rsidRDefault="0065555D" w:rsidP="00FB3903">
            <w:pPr>
              <w:spacing w:line="240" w:lineRule="auto"/>
              <w:jc w:val="center"/>
            </w:pPr>
            <w:r w:rsidRPr="005A3D9A">
              <w:t>2.17</w:t>
            </w:r>
          </w:p>
        </w:tc>
        <w:tc>
          <w:tcPr>
            <w:tcW w:w="960" w:type="dxa"/>
            <w:tcBorders>
              <w:top w:val="nil"/>
              <w:left w:val="nil"/>
              <w:bottom w:val="nil"/>
              <w:right w:val="nil"/>
            </w:tcBorders>
            <w:shd w:val="clear" w:color="auto" w:fill="auto"/>
            <w:noWrap/>
            <w:hideMark/>
          </w:tcPr>
          <w:p w14:paraId="42C3E8F8" w14:textId="77777777" w:rsidR="0065555D" w:rsidRPr="005A3D9A" w:rsidRDefault="0065555D" w:rsidP="00FB3903">
            <w:pPr>
              <w:spacing w:line="240" w:lineRule="auto"/>
              <w:jc w:val="center"/>
            </w:pPr>
            <w:r w:rsidRPr="005A3D9A">
              <w:t>0.1409</w:t>
            </w:r>
          </w:p>
        </w:tc>
      </w:tr>
      <w:tr w:rsidR="0065555D" w:rsidRPr="004A1AA7" w14:paraId="51E91A99" w14:textId="77777777" w:rsidTr="00FB3903">
        <w:trPr>
          <w:trHeight w:val="264"/>
        </w:trPr>
        <w:tc>
          <w:tcPr>
            <w:tcW w:w="1270" w:type="dxa"/>
            <w:tcBorders>
              <w:top w:val="nil"/>
              <w:left w:val="nil"/>
              <w:right w:val="nil"/>
            </w:tcBorders>
            <w:shd w:val="clear" w:color="auto" w:fill="auto"/>
            <w:noWrap/>
            <w:vAlign w:val="bottom"/>
            <w:hideMark/>
          </w:tcPr>
          <w:p w14:paraId="0C9F5BC1" w14:textId="77777777" w:rsidR="0065555D" w:rsidRPr="004A1AA7" w:rsidRDefault="0065555D" w:rsidP="00FB3903">
            <w:pPr>
              <w:spacing w:after="0" w:line="240" w:lineRule="auto"/>
              <w:jc w:val="center"/>
              <w:rPr>
                <w:rFonts w:eastAsia="Times New Roman" w:cs="Times New Roman"/>
                <w:szCs w:val="24"/>
              </w:rPr>
            </w:pPr>
            <w:r w:rsidRPr="004A1AA7">
              <w:rPr>
                <w:rFonts w:eastAsia="Times New Roman" w:cs="Times New Roman"/>
                <w:szCs w:val="24"/>
              </w:rPr>
              <w:t>4</w:t>
            </w:r>
          </w:p>
        </w:tc>
        <w:tc>
          <w:tcPr>
            <w:tcW w:w="960" w:type="dxa"/>
            <w:tcBorders>
              <w:top w:val="nil"/>
              <w:left w:val="nil"/>
              <w:right w:val="nil"/>
            </w:tcBorders>
            <w:shd w:val="clear" w:color="auto" w:fill="auto"/>
            <w:noWrap/>
            <w:hideMark/>
          </w:tcPr>
          <w:p w14:paraId="588FA6CC" w14:textId="77777777" w:rsidR="0065555D" w:rsidRPr="005A3D9A" w:rsidRDefault="0065555D" w:rsidP="00FB3903">
            <w:pPr>
              <w:spacing w:line="240" w:lineRule="auto"/>
              <w:jc w:val="center"/>
            </w:pPr>
            <w:r w:rsidRPr="005A3D9A">
              <w:t>0.81</w:t>
            </w:r>
          </w:p>
        </w:tc>
        <w:tc>
          <w:tcPr>
            <w:tcW w:w="960" w:type="dxa"/>
            <w:tcBorders>
              <w:top w:val="nil"/>
              <w:left w:val="nil"/>
              <w:right w:val="nil"/>
            </w:tcBorders>
            <w:shd w:val="clear" w:color="auto" w:fill="auto"/>
            <w:noWrap/>
            <w:hideMark/>
          </w:tcPr>
          <w:p w14:paraId="19FEB5FB" w14:textId="77777777" w:rsidR="0065555D" w:rsidRPr="005A3D9A" w:rsidRDefault="0065555D" w:rsidP="00FB3903">
            <w:pPr>
              <w:spacing w:line="240" w:lineRule="auto"/>
              <w:jc w:val="center"/>
            </w:pPr>
            <w:r w:rsidRPr="005A3D9A">
              <w:t>0.3680</w:t>
            </w:r>
          </w:p>
        </w:tc>
        <w:tc>
          <w:tcPr>
            <w:tcW w:w="960" w:type="dxa"/>
            <w:tcBorders>
              <w:top w:val="nil"/>
              <w:left w:val="nil"/>
              <w:right w:val="nil"/>
            </w:tcBorders>
            <w:shd w:val="clear" w:color="auto" w:fill="auto"/>
            <w:noWrap/>
            <w:hideMark/>
          </w:tcPr>
          <w:p w14:paraId="5B9817CD" w14:textId="77777777" w:rsidR="0065555D" w:rsidRPr="005A3D9A" w:rsidRDefault="0065555D" w:rsidP="00FB3903">
            <w:pPr>
              <w:spacing w:line="240" w:lineRule="auto"/>
              <w:jc w:val="center"/>
            </w:pPr>
            <w:r w:rsidRPr="005A3D9A">
              <w:t>0.26</w:t>
            </w:r>
          </w:p>
        </w:tc>
        <w:tc>
          <w:tcPr>
            <w:tcW w:w="960" w:type="dxa"/>
            <w:tcBorders>
              <w:top w:val="nil"/>
              <w:left w:val="nil"/>
              <w:right w:val="nil"/>
            </w:tcBorders>
            <w:shd w:val="clear" w:color="auto" w:fill="auto"/>
            <w:noWrap/>
            <w:hideMark/>
          </w:tcPr>
          <w:p w14:paraId="74D60775" w14:textId="77777777" w:rsidR="0065555D" w:rsidRPr="005A3D9A" w:rsidRDefault="0065555D" w:rsidP="00FB3903">
            <w:pPr>
              <w:spacing w:line="240" w:lineRule="auto"/>
              <w:jc w:val="center"/>
            </w:pPr>
            <w:r w:rsidRPr="005A3D9A">
              <w:t>0.6086</w:t>
            </w:r>
          </w:p>
        </w:tc>
      </w:tr>
      <w:tr w:rsidR="0065555D" w:rsidRPr="004A1AA7" w14:paraId="0F15F686" w14:textId="77777777" w:rsidTr="00FB3903">
        <w:trPr>
          <w:trHeight w:val="264"/>
        </w:trPr>
        <w:tc>
          <w:tcPr>
            <w:tcW w:w="1270" w:type="dxa"/>
            <w:tcBorders>
              <w:top w:val="nil"/>
              <w:left w:val="nil"/>
              <w:bottom w:val="single" w:sz="4" w:space="0" w:color="auto"/>
              <w:right w:val="nil"/>
            </w:tcBorders>
            <w:shd w:val="clear" w:color="auto" w:fill="auto"/>
            <w:noWrap/>
            <w:vAlign w:val="bottom"/>
            <w:hideMark/>
          </w:tcPr>
          <w:p w14:paraId="76AE4C9A" w14:textId="77777777" w:rsidR="0065555D" w:rsidRPr="004A1AA7" w:rsidRDefault="0065555D" w:rsidP="00FB3903">
            <w:pPr>
              <w:spacing w:after="0" w:line="240" w:lineRule="auto"/>
              <w:jc w:val="center"/>
              <w:rPr>
                <w:rFonts w:eastAsia="Times New Roman" w:cs="Times New Roman"/>
                <w:szCs w:val="24"/>
              </w:rPr>
            </w:pPr>
            <w:r w:rsidRPr="004A1AA7">
              <w:rPr>
                <w:rFonts w:eastAsia="Times New Roman" w:cs="Times New Roman"/>
                <w:szCs w:val="24"/>
              </w:rPr>
              <w:t>5</w:t>
            </w:r>
          </w:p>
        </w:tc>
        <w:tc>
          <w:tcPr>
            <w:tcW w:w="960" w:type="dxa"/>
            <w:tcBorders>
              <w:top w:val="nil"/>
              <w:left w:val="nil"/>
              <w:bottom w:val="single" w:sz="4" w:space="0" w:color="auto"/>
              <w:right w:val="nil"/>
            </w:tcBorders>
            <w:shd w:val="clear" w:color="auto" w:fill="auto"/>
            <w:noWrap/>
            <w:hideMark/>
          </w:tcPr>
          <w:p w14:paraId="17BD94CD" w14:textId="77777777" w:rsidR="0065555D" w:rsidRPr="005A3D9A" w:rsidRDefault="0065555D" w:rsidP="00FB3903">
            <w:pPr>
              <w:spacing w:line="240" w:lineRule="auto"/>
              <w:jc w:val="center"/>
            </w:pPr>
            <w:r w:rsidRPr="005A3D9A">
              <w:t>0.08</w:t>
            </w:r>
          </w:p>
        </w:tc>
        <w:tc>
          <w:tcPr>
            <w:tcW w:w="960" w:type="dxa"/>
            <w:tcBorders>
              <w:top w:val="nil"/>
              <w:left w:val="nil"/>
              <w:bottom w:val="single" w:sz="4" w:space="0" w:color="auto"/>
              <w:right w:val="nil"/>
            </w:tcBorders>
            <w:shd w:val="clear" w:color="auto" w:fill="auto"/>
            <w:noWrap/>
            <w:hideMark/>
          </w:tcPr>
          <w:p w14:paraId="5F0242D4" w14:textId="77777777" w:rsidR="0065555D" w:rsidRPr="005A3D9A" w:rsidRDefault="0065555D" w:rsidP="00FB3903">
            <w:pPr>
              <w:spacing w:line="240" w:lineRule="auto"/>
              <w:jc w:val="center"/>
            </w:pPr>
            <w:r w:rsidRPr="005A3D9A">
              <w:t>0.7748</w:t>
            </w:r>
          </w:p>
        </w:tc>
        <w:tc>
          <w:tcPr>
            <w:tcW w:w="960" w:type="dxa"/>
            <w:tcBorders>
              <w:top w:val="nil"/>
              <w:left w:val="nil"/>
              <w:bottom w:val="single" w:sz="4" w:space="0" w:color="auto"/>
              <w:right w:val="nil"/>
            </w:tcBorders>
            <w:shd w:val="clear" w:color="auto" w:fill="auto"/>
            <w:noWrap/>
            <w:hideMark/>
          </w:tcPr>
          <w:p w14:paraId="74CAAE5B" w14:textId="77777777" w:rsidR="0065555D" w:rsidRPr="005A3D9A" w:rsidRDefault="0065555D" w:rsidP="00FB3903">
            <w:pPr>
              <w:spacing w:line="240" w:lineRule="auto"/>
              <w:jc w:val="center"/>
            </w:pPr>
            <w:r w:rsidRPr="005A3D9A">
              <w:t>0.00</w:t>
            </w:r>
          </w:p>
        </w:tc>
        <w:tc>
          <w:tcPr>
            <w:tcW w:w="960" w:type="dxa"/>
            <w:tcBorders>
              <w:top w:val="nil"/>
              <w:left w:val="nil"/>
              <w:bottom w:val="single" w:sz="4" w:space="0" w:color="auto"/>
              <w:right w:val="nil"/>
            </w:tcBorders>
            <w:shd w:val="clear" w:color="auto" w:fill="auto"/>
            <w:noWrap/>
            <w:hideMark/>
          </w:tcPr>
          <w:p w14:paraId="1E8FD61E" w14:textId="77777777" w:rsidR="0065555D" w:rsidRDefault="0065555D" w:rsidP="00FB3903">
            <w:pPr>
              <w:spacing w:line="240" w:lineRule="auto"/>
              <w:jc w:val="center"/>
            </w:pPr>
            <w:r w:rsidRPr="005A3D9A">
              <w:t>0.9638</w:t>
            </w:r>
          </w:p>
        </w:tc>
      </w:tr>
    </w:tbl>
    <w:p w14:paraId="589F19F1" w14:textId="77777777" w:rsidR="0065555D" w:rsidRDefault="0065555D" w:rsidP="00FB3903">
      <w:pPr>
        <w:spacing w:line="240" w:lineRule="auto"/>
      </w:pPr>
    </w:p>
    <w:p w14:paraId="6AB31348" w14:textId="77777777" w:rsidR="0065555D" w:rsidRPr="00ED5777" w:rsidRDefault="0065555D" w:rsidP="00FB3903">
      <w:pPr>
        <w:spacing w:line="240" w:lineRule="auto"/>
      </w:pPr>
    </w:p>
    <w:p w14:paraId="72F79E19" w14:textId="77777777" w:rsidR="0065555D" w:rsidRPr="007B1EF6" w:rsidRDefault="0065555D" w:rsidP="00FB3903">
      <w:pPr>
        <w:pStyle w:val="Caption"/>
        <w:spacing w:after="0"/>
        <w:rPr>
          <w:sz w:val="20"/>
          <w:szCs w:val="20"/>
        </w:rPr>
      </w:pPr>
    </w:p>
    <w:p w14:paraId="20792955" w14:textId="77777777" w:rsidR="0065555D" w:rsidRPr="007B1EF6" w:rsidRDefault="0065555D">
      <w:pPr>
        <w:pStyle w:val="Caption"/>
        <w:spacing w:after="0"/>
        <w:rPr>
          <w:sz w:val="20"/>
          <w:szCs w:val="20"/>
        </w:rPr>
      </w:pPr>
    </w:p>
    <w:p w14:paraId="63336C48" w14:textId="77777777" w:rsidR="00A06D3A" w:rsidRDefault="00A06D3A"/>
    <w:sectPr w:rsidR="00A06D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7DD45" w14:textId="77777777" w:rsidR="00672D20" w:rsidRDefault="00672D20" w:rsidP="0065555D">
      <w:pPr>
        <w:spacing w:after="0" w:line="240" w:lineRule="auto"/>
      </w:pPr>
      <w:r>
        <w:separator/>
      </w:r>
    </w:p>
  </w:endnote>
  <w:endnote w:type="continuationSeparator" w:id="0">
    <w:p w14:paraId="755238FD" w14:textId="77777777" w:rsidR="00672D20" w:rsidRDefault="00672D20" w:rsidP="00655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339977"/>
      <w:docPartObj>
        <w:docPartGallery w:val="Page Numbers (Bottom of Page)"/>
        <w:docPartUnique/>
      </w:docPartObj>
    </w:sdtPr>
    <w:sdtEndPr/>
    <w:sdtContent>
      <w:p w14:paraId="25855506" w14:textId="77777777" w:rsidR="007049D5" w:rsidRDefault="007049D5" w:rsidP="00FB3903">
        <w:pPr>
          <w:pStyle w:val="Footer"/>
          <w:jc w:val="center"/>
        </w:pPr>
        <w:r>
          <w:fldChar w:fldCharType="begin"/>
        </w:r>
        <w:r>
          <w:instrText xml:space="preserve"> PAGE   \* MERGEFORMAT </w:instrText>
        </w:r>
        <w:r>
          <w:fldChar w:fldCharType="separate"/>
        </w:r>
        <w:r w:rsidR="003938A9">
          <w:rPr>
            <w:noProof/>
          </w:rPr>
          <w:t>6</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652DD" w14:textId="77777777" w:rsidR="00672D20" w:rsidRDefault="00672D20" w:rsidP="0065555D">
      <w:pPr>
        <w:spacing w:after="0" w:line="240" w:lineRule="auto"/>
      </w:pPr>
      <w:r>
        <w:separator/>
      </w:r>
    </w:p>
  </w:footnote>
  <w:footnote w:type="continuationSeparator" w:id="0">
    <w:p w14:paraId="11B609E8" w14:textId="77777777" w:rsidR="00672D20" w:rsidRDefault="00672D20" w:rsidP="0065555D">
      <w:pPr>
        <w:spacing w:after="0" w:line="240" w:lineRule="auto"/>
      </w:pPr>
      <w:r>
        <w:continuationSeparator/>
      </w:r>
    </w:p>
  </w:footnote>
  <w:footnote w:id="1">
    <w:p w14:paraId="692AF302" w14:textId="77777777" w:rsidR="007049D5" w:rsidRDefault="007049D5">
      <w:pPr>
        <w:pStyle w:val="FootnoteText"/>
      </w:pPr>
      <w:r>
        <w:rPr>
          <w:rStyle w:val="FootnoteReference"/>
        </w:rPr>
        <w:footnoteRef/>
      </w:r>
      <w:r>
        <w:t xml:space="preserve"> While </w:t>
      </w:r>
      <w:r>
        <w:rPr>
          <w:noProof/>
        </w:rPr>
        <w:t>Fuerst and Marcato (2009)</w:t>
      </w:r>
      <w:r>
        <w:t xml:space="preserve"> do not find that the diversification factor is able to significantly reduce alpha performance, they do claim that all risk factors in their model are to some extent important in explaining portfolio returns. They also note that all identified risk factors “should be considered for benchmarking purposes because the ability to generate extra performance and its level is dependent on exposure to these factors.”</w:t>
      </w:r>
    </w:p>
  </w:footnote>
  <w:footnote w:id="2">
    <w:p w14:paraId="2FB97463" w14:textId="77777777" w:rsidR="007049D5" w:rsidRDefault="007049D5">
      <w:pPr>
        <w:pStyle w:val="FootnoteText"/>
      </w:pPr>
      <w:r>
        <w:rPr>
          <w:rStyle w:val="FootnoteReference"/>
        </w:rPr>
        <w:footnoteRef/>
      </w:r>
      <w:r>
        <w:t xml:space="preserve"> The finding that loan portfolio diversification yields no benefits to banks is not universal. For example, </w:t>
      </w:r>
      <w:r>
        <w:rPr>
          <w:noProof/>
        </w:rPr>
        <w:t>Bebczuk and Galindo (2008)</w:t>
      </w:r>
      <w:r>
        <w:t xml:space="preserve"> find that banks do get some benefits from holding a diversified loan portfolio. </w:t>
      </w:r>
    </w:p>
  </w:footnote>
  <w:footnote w:id="3">
    <w:p w14:paraId="78B2B993" w14:textId="77777777" w:rsidR="007049D5" w:rsidRDefault="007049D5" w:rsidP="00FB3903">
      <w:pPr>
        <w:pStyle w:val="FootnoteText"/>
      </w:pPr>
      <w:r>
        <w:rPr>
          <w:rStyle w:val="FootnoteReference"/>
        </w:rPr>
        <w:footnoteRef/>
      </w:r>
      <w:r>
        <w:t xml:space="preserve"> </w:t>
      </w:r>
      <w:r>
        <w:rPr>
          <w:rFonts w:cs="Times New Roman"/>
          <w:szCs w:val="24"/>
        </w:rPr>
        <w:t>Because a large number of loans in the Trepp Data Feed are conduit loans, we consider a loan’s characteristics at securitization to be a fair proxy for the loan’s characteristics at origination</w:t>
      </w:r>
      <w:r w:rsidRPr="00F2083C">
        <w:rPr>
          <w:rFonts w:cs="Times New Roman"/>
          <w:szCs w:val="24"/>
        </w:rPr>
        <w:t>.</w:t>
      </w:r>
    </w:p>
  </w:footnote>
  <w:footnote w:id="4">
    <w:p w14:paraId="7B8644C5" w14:textId="77777777" w:rsidR="007049D5" w:rsidRDefault="007049D5">
      <w:pPr>
        <w:pStyle w:val="FootnoteText"/>
      </w:pPr>
      <w:r>
        <w:rPr>
          <w:rStyle w:val="FootnoteReference"/>
        </w:rPr>
        <w:footnoteRef/>
      </w:r>
      <w:r>
        <w:t xml:space="preserve"> Our primary results are qualitatively similar when we examine a pooled dataset consisting of retail, office, and industrial/warehouse properties.</w:t>
      </w:r>
    </w:p>
  </w:footnote>
  <w:footnote w:id="5">
    <w:p w14:paraId="690929E2" w14:textId="77777777" w:rsidR="007049D5" w:rsidRDefault="007049D5" w:rsidP="00FB3903">
      <w:pPr>
        <w:pStyle w:val="FootnoteText"/>
      </w:pPr>
      <w:r>
        <w:rPr>
          <w:rStyle w:val="FootnoteReference"/>
        </w:rPr>
        <w:footnoteRef/>
      </w:r>
      <w:r>
        <w:t xml:space="preserve"> An alternative measure for diversification that is employed by </w:t>
      </w:r>
      <w:r>
        <w:rPr>
          <w:noProof/>
        </w:rPr>
        <w:t>Fuerst and Marcato (2009)</w:t>
      </w:r>
      <w:r>
        <w:t xml:space="preserve"> is the number of tenants that occupy a given property. Our data do not directly report the number of tenants for each property. However, using data on the percent of square footage occupied by each of the largest 3 tenants enables us to determine if a property has 1, 2, 3, or greater than 3 tenants. In doing so, we observe that L1% is correlated with the number of tenants. We also find that L1% is highly correlated with the 3-tenant Herfindahl-Hirschman Index (HHI), which we use later in the paper to examine the robustness of our results.  </w:t>
      </w:r>
    </w:p>
  </w:footnote>
  <w:footnote w:id="6">
    <w:p w14:paraId="1F98A7BC" w14:textId="77777777" w:rsidR="007049D5" w:rsidRDefault="007049D5">
      <w:pPr>
        <w:pStyle w:val="FootnoteText"/>
      </w:pPr>
      <w:r>
        <w:rPr>
          <w:rStyle w:val="FootnoteReference"/>
        </w:rPr>
        <w:footnoteRef/>
      </w:r>
      <w:r>
        <w:t xml:space="preserve"> </w:t>
      </w:r>
      <w:r>
        <w:rPr>
          <w:rFonts w:cs="Times New Roman"/>
          <w:szCs w:val="24"/>
        </w:rPr>
        <w:t>We winsorize all continuous variables at the 1% and 99% levels to control for extreme outlying observations.</w:t>
      </w:r>
    </w:p>
  </w:footnote>
  <w:footnote w:id="7">
    <w:p w14:paraId="3E67889A" w14:textId="77777777" w:rsidR="007049D5" w:rsidRDefault="007049D5">
      <w:pPr>
        <w:pStyle w:val="FootnoteText"/>
      </w:pPr>
      <w:r>
        <w:rPr>
          <w:rStyle w:val="FootnoteReference"/>
        </w:rPr>
        <w:footnoteRef/>
      </w:r>
      <w:r>
        <w:t xml:space="preserve"> The correlation coefficient between the number of loans in each year and the average spread in each year is -0.94.</w:t>
      </w:r>
    </w:p>
  </w:footnote>
  <w:footnote w:id="8">
    <w:p w14:paraId="24F0435B" w14:textId="77777777" w:rsidR="007049D5" w:rsidRDefault="007049D5">
      <w:pPr>
        <w:pStyle w:val="FootnoteText"/>
      </w:pPr>
      <w:r>
        <w:rPr>
          <w:rStyle w:val="FootnoteReference"/>
        </w:rPr>
        <w:footnoteRef/>
      </w:r>
      <w:r>
        <w:t xml:space="preserve"> See </w:t>
      </w:r>
      <w:r>
        <w:rPr>
          <w:noProof/>
        </w:rPr>
        <w:t>Titman et al. (2005)</w:t>
      </w:r>
      <w:r>
        <w:t xml:space="preserve"> for a detailed explanation about the expected impact of these variables on mortgage spreads.</w:t>
      </w:r>
    </w:p>
  </w:footnote>
  <w:footnote w:id="9">
    <w:p w14:paraId="3054B182" w14:textId="77777777" w:rsidR="007049D5" w:rsidRDefault="007049D5" w:rsidP="00FB3903">
      <w:pPr>
        <w:pStyle w:val="FootnoteText"/>
      </w:pPr>
      <w:r>
        <w:rPr>
          <w:rStyle w:val="FootnoteReference"/>
        </w:rPr>
        <w:footnoteRef/>
      </w:r>
      <w:r>
        <w:t xml:space="preserve"> </w:t>
      </w:r>
      <w:r>
        <w:rPr>
          <w:noProof/>
        </w:rPr>
        <w:t>Petersen (2009)</w:t>
      </w:r>
      <w:r>
        <w:t xml:space="preserve"> and </w:t>
      </w:r>
      <w:r>
        <w:rPr>
          <w:noProof/>
        </w:rPr>
        <w:t>Thompson (2011)</w:t>
      </w:r>
      <w:r>
        <w:t xml:space="preserve"> discuss the importance of clustering standard errors in panel datasets.</w:t>
      </w:r>
    </w:p>
  </w:footnote>
  <w:footnote w:id="10">
    <w:p w14:paraId="3C2A8B96" w14:textId="77777777" w:rsidR="007049D5" w:rsidRDefault="007049D5" w:rsidP="00FB3903">
      <w:pPr>
        <w:pStyle w:val="FootnoteText"/>
      </w:pPr>
      <w:r>
        <w:rPr>
          <w:rStyle w:val="FootnoteReference"/>
        </w:rPr>
        <w:footnoteRef/>
      </w:r>
      <w:r>
        <w:t xml:space="preserve"> </w:t>
      </w:r>
      <w:r w:rsidRPr="008C73FB">
        <w:rPr>
          <w:rFonts w:eastAsia="Times New Roman" w:cs="Times New Roman"/>
          <w:bCs/>
          <w:szCs w:val="18"/>
        </w:rPr>
        <w:t xml:space="preserve">Table </w:t>
      </w:r>
      <w:r>
        <w:rPr>
          <w:rFonts w:eastAsia="Times New Roman" w:cs="Times New Roman"/>
          <w:bCs/>
          <w:noProof/>
          <w:szCs w:val="18"/>
        </w:rPr>
        <w:t>1</w:t>
      </w:r>
      <w:r>
        <w:t xml:space="preserve"> shows that L1% is correlated with property values. In unreported results, we segment properties into three different groups based on their total rentable area and perform the same analysis to ensure that our results are not driven by property size. We find that medium and large properties exhibit a similar U-shaped relationship between tenant diversification and spreads, while the smallest properties have spreads that either do not change or increase as tenant diversification increases. </w:t>
      </w:r>
    </w:p>
  </w:footnote>
  <w:footnote w:id="11">
    <w:p w14:paraId="4739DEA5" w14:textId="77777777" w:rsidR="007049D5" w:rsidRDefault="007049D5" w:rsidP="00FB3903">
      <w:pPr>
        <w:pStyle w:val="FootnoteText"/>
      </w:pPr>
      <w:r>
        <w:rPr>
          <w:rStyle w:val="FootnoteReference"/>
        </w:rPr>
        <w:footnoteRef/>
      </w:r>
      <w:r>
        <w:t xml:space="preserve"> Tests that the sum of the coefficients on the tenant diversification dummies and </w:t>
      </w:r>
      <w:r w:rsidR="00C826E3">
        <w:t>the</w:t>
      </w:r>
      <w:r>
        <w:t xml:space="preserve"> lease rollover</w:t>
      </w:r>
      <w:r w:rsidR="00C826E3">
        <w:t xml:space="preserve"> interaction</w:t>
      </w:r>
      <w:r>
        <w:t xml:space="preserve"> term for this model and other models that appear later in the</w:t>
      </w:r>
      <w:r w:rsidR="00A26C76">
        <w:t xml:space="preserve"> paper are reported in the A</w:t>
      </w:r>
      <w:r w:rsidR="00877DB8">
        <w:t>ppendix</w:t>
      </w:r>
      <w:r>
        <w:t xml:space="preserve">. </w:t>
      </w:r>
    </w:p>
  </w:footnote>
  <w:footnote w:id="12">
    <w:p w14:paraId="121F4207" w14:textId="77777777" w:rsidR="007049D5" w:rsidRDefault="007049D5">
      <w:pPr>
        <w:pStyle w:val="FootnoteText"/>
      </w:pPr>
      <w:r>
        <w:rPr>
          <w:rStyle w:val="FootnoteReference"/>
        </w:rPr>
        <w:footnoteRef/>
      </w:r>
      <w:r>
        <w:t xml:space="preserve"> As was the case with L1%, we find that HHI is positively correlated with the number of tenants that occupy a property.</w:t>
      </w:r>
    </w:p>
  </w:footnote>
  <w:footnote w:id="13">
    <w:p w14:paraId="5434B11A" w14:textId="77777777" w:rsidR="007049D5" w:rsidRDefault="007049D5">
      <w:pPr>
        <w:pStyle w:val="FootnoteText"/>
      </w:pPr>
      <w:r>
        <w:rPr>
          <w:rStyle w:val="FootnoteReference"/>
        </w:rPr>
        <w:footnoteRef/>
      </w:r>
      <w:r>
        <w:t xml:space="preserve"> </w:t>
      </w:r>
      <w:r>
        <w:rPr>
          <w:noProof/>
        </w:rPr>
        <w:t>Ambrose et al. (2003)</w:t>
      </w:r>
      <w:r>
        <w:t xml:space="preserve"> note that nonbank lenders tend to make low LTV loans while bank lenders are more willing to accept a loan package with a higher LTV. </w:t>
      </w:r>
      <w:r>
        <w:rPr>
          <w:noProof/>
        </w:rPr>
        <w:t>Titman et al. (2005)</w:t>
      </w:r>
      <w:r>
        <w:t xml:space="preserve"> also document a clientele effect, as they find that some originators attract mortgages with higher LTVs. </w:t>
      </w:r>
    </w:p>
  </w:footnote>
  <w:footnote w:id="14">
    <w:p w14:paraId="047B12E2" w14:textId="77777777" w:rsidR="007049D5" w:rsidRDefault="007049D5">
      <w:pPr>
        <w:pStyle w:val="FootnoteText"/>
      </w:pPr>
      <w:r>
        <w:rPr>
          <w:rStyle w:val="FootnoteReference"/>
        </w:rPr>
        <w:footnoteRef/>
      </w:r>
      <w:r>
        <w:t xml:space="preserve"> See </w:t>
      </w:r>
      <w:r>
        <w:rPr>
          <w:noProof/>
        </w:rPr>
        <w:t>Archer et al. (2002)</w:t>
      </w:r>
      <w:r>
        <w:t xml:space="preserve">, </w:t>
      </w:r>
      <w:r>
        <w:rPr>
          <w:noProof/>
        </w:rPr>
        <w:t>Ciochetti et al. (2002)</w:t>
      </w:r>
      <w:r>
        <w:t xml:space="preserve">, </w:t>
      </w:r>
      <w:r>
        <w:rPr>
          <w:noProof/>
        </w:rPr>
        <w:t>Ambrose and Sanders (2003)</w:t>
      </w:r>
      <w:r>
        <w:t xml:space="preserve">, </w:t>
      </w:r>
      <w:r>
        <w:rPr>
          <w:noProof/>
        </w:rPr>
        <w:t>Ciochetti et al. (2003)</w:t>
      </w:r>
      <w:r>
        <w:t xml:space="preserve">, </w:t>
      </w:r>
      <w:r>
        <w:rPr>
          <w:noProof/>
        </w:rPr>
        <w:t>Christopoulos et al. (2008)</w:t>
      </w:r>
      <w:r>
        <w:t xml:space="preserve">, </w:t>
      </w:r>
      <w:r>
        <w:rPr>
          <w:noProof/>
        </w:rPr>
        <w:t>Yildirim (2008)</w:t>
      </w:r>
      <w:r>
        <w:t xml:space="preserve">, and </w:t>
      </w:r>
      <w:r>
        <w:rPr>
          <w:noProof/>
        </w:rPr>
        <w:t>Titman and Tsyplakov (2010)</w:t>
      </w:r>
      <w:r>
        <w:t>.</w:t>
      </w:r>
    </w:p>
  </w:footnote>
  <w:footnote w:id="15">
    <w:p w14:paraId="009012D1" w14:textId="77777777" w:rsidR="007049D5" w:rsidRDefault="007049D5" w:rsidP="00FB3903">
      <w:pPr>
        <w:pStyle w:val="FootnoteText"/>
      </w:pPr>
      <w:r>
        <w:rPr>
          <w:rStyle w:val="FootnoteReference"/>
        </w:rPr>
        <w:footnoteRef/>
      </w:r>
      <w:r>
        <w:t xml:space="preserve"> The sample size in our default analysis is smaller than the sample size in our spread model because we drop loans that are missing data on the DSCR or the property’s U.S. Census division.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32E0"/>
    <w:multiLevelType w:val="hybridMultilevel"/>
    <w:tmpl w:val="1C7AEAC4"/>
    <w:lvl w:ilvl="0" w:tplc="2A9CF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64B90"/>
    <w:multiLevelType w:val="hybridMultilevel"/>
    <w:tmpl w:val="5330D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412B1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97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67904764"/>
    <w:multiLevelType w:val="hybridMultilevel"/>
    <w:tmpl w:val="7264FBD6"/>
    <w:lvl w:ilvl="0" w:tplc="90FC8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FD7DA4"/>
    <w:multiLevelType w:val="hybridMultilevel"/>
    <w:tmpl w:val="992E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7653A"/>
    <w:multiLevelType w:val="multilevel"/>
    <w:tmpl w:val="E9BA289A"/>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5555D"/>
    <w:rsid w:val="000C7CE2"/>
    <w:rsid w:val="001B5B81"/>
    <w:rsid w:val="00297E43"/>
    <w:rsid w:val="0038455D"/>
    <w:rsid w:val="003938A9"/>
    <w:rsid w:val="0056424F"/>
    <w:rsid w:val="005B55E1"/>
    <w:rsid w:val="005F37F8"/>
    <w:rsid w:val="0065555D"/>
    <w:rsid w:val="00672D20"/>
    <w:rsid w:val="006D3179"/>
    <w:rsid w:val="007049D5"/>
    <w:rsid w:val="00762BFC"/>
    <w:rsid w:val="007663B2"/>
    <w:rsid w:val="00795694"/>
    <w:rsid w:val="00832C5B"/>
    <w:rsid w:val="00877DB8"/>
    <w:rsid w:val="008D4607"/>
    <w:rsid w:val="0094653F"/>
    <w:rsid w:val="009946AA"/>
    <w:rsid w:val="00A06D3A"/>
    <w:rsid w:val="00A20CEA"/>
    <w:rsid w:val="00A26C76"/>
    <w:rsid w:val="00A27EB6"/>
    <w:rsid w:val="00B0574A"/>
    <w:rsid w:val="00B06CAC"/>
    <w:rsid w:val="00B204D2"/>
    <w:rsid w:val="00B52068"/>
    <w:rsid w:val="00BE4ABE"/>
    <w:rsid w:val="00C24EB6"/>
    <w:rsid w:val="00C826E3"/>
    <w:rsid w:val="00D04203"/>
    <w:rsid w:val="00D83951"/>
    <w:rsid w:val="00DA4C85"/>
    <w:rsid w:val="00DC68D6"/>
    <w:rsid w:val="00E11CFB"/>
    <w:rsid w:val="00EB3BC0"/>
    <w:rsid w:val="00F03541"/>
    <w:rsid w:val="00F90BD8"/>
    <w:rsid w:val="00FB3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7A4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55D"/>
    <w:pPr>
      <w:spacing w:after="200" w:line="480" w:lineRule="auto"/>
      <w:contextualSpacing/>
    </w:pPr>
  </w:style>
  <w:style w:type="paragraph" w:styleId="Heading1">
    <w:name w:val="heading 1"/>
    <w:basedOn w:val="Normal"/>
    <w:next w:val="Normal"/>
    <w:link w:val="Heading1Char"/>
    <w:uiPriority w:val="9"/>
    <w:qFormat/>
    <w:rsid w:val="0065555D"/>
    <w:pPr>
      <w:numPr>
        <w:numId w:val="4"/>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5555D"/>
    <w:pPr>
      <w:numPr>
        <w:ilvl w:val="1"/>
        <w:numId w:val="4"/>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5555D"/>
    <w:pPr>
      <w:numPr>
        <w:ilvl w:val="2"/>
        <w:numId w:val="4"/>
      </w:numPr>
      <w:spacing w:before="200" w:after="0" w:line="271" w:lineRule="auto"/>
      <w:ind w:left="720"/>
      <w:outlineLvl w:val="2"/>
    </w:pPr>
    <w:rPr>
      <w:rFonts w:eastAsiaTheme="majorEastAsia" w:cstheme="majorBidi"/>
      <w:b/>
      <w:bCs/>
    </w:rPr>
  </w:style>
  <w:style w:type="paragraph" w:styleId="Heading4">
    <w:name w:val="heading 4"/>
    <w:basedOn w:val="Normal"/>
    <w:next w:val="Normal"/>
    <w:link w:val="Heading4Char"/>
    <w:uiPriority w:val="9"/>
    <w:unhideWhenUsed/>
    <w:qFormat/>
    <w:rsid w:val="0065555D"/>
    <w:pPr>
      <w:numPr>
        <w:ilvl w:val="3"/>
        <w:numId w:val="4"/>
      </w:num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65555D"/>
    <w:pPr>
      <w:numPr>
        <w:ilvl w:val="4"/>
        <w:numId w:val="4"/>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5555D"/>
    <w:pPr>
      <w:numPr>
        <w:ilvl w:val="5"/>
        <w:numId w:val="4"/>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5555D"/>
    <w:pPr>
      <w:numPr>
        <w:ilvl w:val="6"/>
        <w:numId w:val="4"/>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555D"/>
    <w:pPr>
      <w:numPr>
        <w:ilvl w:val="7"/>
        <w:numId w:val="4"/>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5555D"/>
    <w:pPr>
      <w:numPr>
        <w:ilvl w:val="8"/>
        <w:numId w:val="4"/>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55D"/>
    <w:rPr>
      <w:rFonts w:eastAsiaTheme="majorEastAsia" w:cstheme="majorBidi"/>
      <w:b/>
      <w:bCs/>
      <w:sz w:val="28"/>
      <w:szCs w:val="28"/>
    </w:rPr>
  </w:style>
  <w:style w:type="character" w:customStyle="1" w:styleId="Heading2Char">
    <w:name w:val="Heading 2 Char"/>
    <w:basedOn w:val="DefaultParagraphFont"/>
    <w:link w:val="Heading2"/>
    <w:uiPriority w:val="9"/>
    <w:rsid w:val="0065555D"/>
    <w:rPr>
      <w:rFonts w:eastAsiaTheme="majorEastAsia" w:cstheme="majorBidi"/>
      <w:b/>
      <w:bCs/>
      <w:sz w:val="26"/>
      <w:szCs w:val="26"/>
    </w:rPr>
  </w:style>
  <w:style w:type="character" w:customStyle="1" w:styleId="Heading3Char">
    <w:name w:val="Heading 3 Char"/>
    <w:basedOn w:val="DefaultParagraphFont"/>
    <w:link w:val="Heading3"/>
    <w:uiPriority w:val="9"/>
    <w:rsid w:val="0065555D"/>
    <w:rPr>
      <w:rFonts w:eastAsiaTheme="majorEastAsia" w:cstheme="majorBidi"/>
      <w:b/>
      <w:bCs/>
    </w:rPr>
  </w:style>
  <w:style w:type="character" w:customStyle="1" w:styleId="Heading4Char">
    <w:name w:val="Heading 4 Char"/>
    <w:basedOn w:val="DefaultParagraphFont"/>
    <w:link w:val="Heading4"/>
    <w:uiPriority w:val="9"/>
    <w:rsid w:val="0065555D"/>
    <w:rPr>
      <w:rFonts w:eastAsiaTheme="majorEastAsia" w:cstheme="majorBidi"/>
      <w:b/>
      <w:bCs/>
      <w:i/>
      <w:iCs/>
    </w:rPr>
  </w:style>
  <w:style w:type="character" w:customStyle="1" w:styleId="Heading5Char">
    <w:name w:val="Heading 5 Char"/>
    <w:basedOn w:val="DefaultParagraphFont"/>
    <w:link w:val="Heading5"/>
    <w:uiPriority w:val="9"/>
    <w:semiHidden/>
    <w:rsid w:val="0065555D"/>
    <w:rPr>
      <w:rFonts w:asciiTheme="majorHAnsi" w:eastAsiaTheme="majorEastAsia" w:hAnsiTheme="majorHAnsi" w:cstheme="majorBidi"/>
      <w:b/>
      <w:bCs/>
      <w:color w:val="7F7F7F" w:themeColor="text1" w:themeTint="80"/>
      <w:lang w:bidi="en-US"/>
    </w:rPr>
  </w:style>
  <w:style w:type="character" w:customStyle="1" w:styleId="Heading6Char">
    <w:name w:val="Heading 6 Char"/>
    <w:basedOn w:val="DefaultParagraphFont"/>
    <w:link w:val="Heading6"/>
    <w:uiPriority w:val="9"/>
    <w:semiHidden/>
    <w:rsid w:val="0065555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65555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65555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65555D"/>
    <w:rPr>
      <w:rFonts w:asciiTheme="majorHAnsi" w:eastAsiaTheme="majorEastAsia" w:hAnsiTheme="majorHAnsi" w:cstheme="majorBidi"/>
      <w:i/>
      <w:iCs/>
      <w:spacing w:val="5"/>
      <w:sz w:val="20"/>
      <w:szCs w:val="20"/>
      <w:lang w:bidi="en-US"/>
    </w:rPr>
  </w:style>
  <w:style w:type="paragraph" w:styleId="Caption">
    <w:name w:val="caption"/>
    <w:basedOn w:val="Normal"/>
    <w:next w:val="Normal"/>
    <w:uiPriority w:val="35"/>
    <w:unhideWhenUsed/>
    <w:qFormat/>
    <w:rsid w:val="0065555D"/>
    <w:pPr>
      <w:spacing w:line="240" w:lineRule="auto"/>
    </w:pPr>
    <w:rPr>
      <w:bCs/>
      <w:szCs w:val="18"/>
    </w:rPr>
  </w:style>
  <w:style w:type="paragraph" w:styleId="Header">
    <w:name w:val="header"/>
    <w:basedOn w:val="Normal"/>
    <w:link w:val="HeaderChar"/>
    <w:uiPriority w:val="99"/>
    <w:unhideWhenUsed/>
    <w:rsid w:val="00655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5D"/>
    <w:rPr>
      <w:rFonts w:asciiTheme="minorHAnsi" w:eastAsiaTheme="minorEastAsia" w:hAnsiTheme="minorHAnsi"/>
      <w:lang w:bidi="en-US"/>
    </w:rPr>
  </w:style>
  <w:style w:type="paragraph" w:styleId="Footer">
    <w:name w:val="footer"/>
    <w:basedOn w:val="Normal"/>
    <w:link w:val="FooterChar"/>
    <w:uiPriority w:val="99"/>
    <w:unhideWhenUsed/>
    <w:rsid w:val="00655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5D"/>
    <w:rPr>
      <w:rFonts w:asciiTheme="minorHAnsi" w:eastAsiaTheme="minorEastAsia" w:hAnsiTheme="minorHAnsi"/>
      <w:lang w:bidi="en-US"/>
    </w:rPr>
  </w:style>
  <w:style w:type="paragraph" w:styleId="NoSpacing">
    <w:name w:val="No Spacing"/>
    <w:basedOn w:val="Normal"/>
    <w:link w:val="NoSpacingChar"/>
    <w:uiPriority w:val="1"/>
    <w:qFormat/>
    <w:rsid w:val="0065555D"/>
    <w:pPr>
      <w:spacing w:after="0" w:line="240" w:lineRule="auto"/>
    </w:pPr>
  </w:style>
  <w:style w:type="character" w:customStyle="1" w:styleId="NoSpacingChar">
    <w:name w:val="No Spacing Char"/>
    <w:basedOn w:val="DefaultParagraphFont"/>
    <w:link w:val="NoSpacing"/>
    <w:uiPriority w:val="1"/>
    <w:rsid w:val="0065555D"/>
    <w:rPr>
      <w:rFonts w:asciiTheme="minorHAnsi" w:eastAsiaTheme="minorEastAsia" w:hAnsiTheme="minorHAnsi"/>
      <w:lang w:bidi="en-US"/>
    </w:rPr>
  </w:style>
  <w:style w:type="paragraph" w:styleId="BalloonText">
    <w:name w:val="Balloon Text"/>
    <w:basedOn w:val="Normal"/>
    <w:link w:val="BalloonTextChar"/>
    <w:uiPriority w:val="99"/>
    <w:semiHidden/>
    <w:unhideWhenUsed/>
    <w:rsid w:val="00655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5D"/>
    <w:rPr>
      <w:rFonts w:ascii="Tahoma" w:eastAsiaTheme="minorEastAsia" w:hAnsi="Tahoma" w:cs="Tahoma"/>
      <w:sz w:val="16"/>
      <w:szCs w:val="16"/>
      <w:lang w:bidi="en-US"/>
    </w:rPr>
  </w:style>
  <w:style w:type="paragraph" w:styleId="FootnoteText">
    <w:name w:val="footnote text"/>
    <w:basedOn w:val="Normal"/>
    <w:link w:val="FootnoteTextChar"/>
    <w:uiPriority w:val="99"/>
    <w:unhideWhenUsed/>
    <w:rsid w:val="0065555D"/>
    <w:pPr>
      <w:spacing w:after="0" w:line="240" w:lineRule="auto"/>
      <w:contextualSpacing w:val="0"/>
    </w:pPr>
    <w:rPr>
      <w:sz w:val="20"/>
      <w:szCs w:val="20"/>
    </w:rPr>
  </w:style>
  <w:style w:type="character" w:customStyle="1" w:styleId="FootnoteTextChar">
    <w:name w:val="Footnote Text Char"/>
    <w:basedOn w:val="DefaultParagraphFont"/>
    <w:link w:val="FootnoteText"/>
    <w:uiPriority w:val="99"/>
    <w:rsid w:val="0065555D"/>
    <w:rPr>
      <w:rFonts w:asciiTheme="minorHAnsi" w:eastAsiaTheme="minorEastAsia" w:hAnsiTheme="minorHAnsi"/>
      <w:sz w:val="20"/>
      <w:szCs w:val="20"/>
      <w:lang w:bidi="en-US"/>
    </w:rPr>
  </w:style>
  <w:style w:type="character" w:styleId="FootnoteReference">
    <w:name w:val="footnote reference"/>
    <w:basedOn w:val="DefaultParagraphFont"/>
    <w:uiPriority w:val="99"/>
    <w:unhideWhenUsed/>
    <w:rsid w:val="0065555D"/>
    <w:rPr>
      <w:vertAlign w:val="superscript"/>
    </w:rPr>
  </w:style>
  <w:style w:type="paragraph" w:styleId="Title">
    <w:name w:val="Title"/>
    <w:basedOn w:val="Normal"/>
    <w:next w:val="Normal"/>
    <w:link w:val="TitleChar"/>
    <w:uiPriority w:val="10"/>
    <w:qFormat/>
    <w:rsid w:val="0065555D"/>
    <w:pPr>
      <w:pBdr>
        <w:bottom w:val="single" w:sz="4" w:space="1" w:color="auto"/>
      </w:pBdr>
      <w:spacing w:line="240" w:lineRule="auto"/>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5555D"/>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11"/>
    <w:qFormat/>
    <w:rsid w:val="0065555D"/>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65555D"/>
    <w:rPr>
      <w:rFonts w:asciiTheme="majorHAnsi" w:eastAsiaTheme="majorEastAsia" w:hAnsiTheme="majorHAnsi" w:cstheme="majorBidi"/>
      <w:i/>
      <w:iCs/>
      <w:spacing w:val="13"/>
      <w:szCs w:val="24"/>
      <w:lang w:bidi="en-US"/>
    </w:rPr>
  </w:style>
  <w:style w:type="character" w:styleId="Strong">
    <w:name w:val="Strong"/>
    <w:uiPriority w:val="22"/>
    <w:qFormat/>
    <w:rsid w:val="0065555D"/>
    <w:rPr>
      <w:b/>
      <w:bCs/>
    </w:rPr>
  </w:style>
  <w:style w:type="character" w:styleId="Emphasis">
    <w:name w:val="Emphasis"/>
    <w:uiPriority w:val="20"/>
    <w:qFormat/>
    <w:rsid w:val="0065555D"/>
    <w:rPr>
      <w:b/>
      <w:bCs/>
      <w:i/>
      <w:iCs/>
      <w:spacing w:val="10"/>
      <w:bdr w:val="none" w:sz="0" w:space="0" w:color="auto"/>
      <w:shd w:val="clear" w:color="auto" w:fill="auto"/>
    </w:rPr>
  </w:style>
  <w:style w:type="paragraph" w:styleId="ListParagraph">
    <w:name w:val="List Paragraph"/>
    <w:basedOn w:val="Normal"/>
    <w:uiPriority w:val="34"/>
    <w:qFormat/>
    <w:rsid w:val="0065555D"/>
    <w:pPr>
      <w:ind w:left="720"/>
    </w:pPr>
  </w:style>
  <w:style w:type="paragraph" w:styleId="Quote">
    <w:name w:val="Quote"/>
    <w:basedOn w:val="Normal"/>
    <w:next w:val="Normal"/>
    <w:link w:val="QuoteChar"/>
    <w:uiPriority w:val="29"/>
    <w:qFormat/>
    <w:rsid w:val="0065555D"/>
    <w:pPr>
      <w:spacing w:before="200" w:after="0"/>
      <w:ind w:left="360" w:right="360"/>
    </w:pPr>
    <w:rPr>
      <w:i/>
      <w:iCs/>
    </w:rPr>
  </w:style>
  <w:style w:type="character" w:customStyle="1" w:styleId="QuoteChar">
    <w:name w:val="Quote Char"/>
    <w:basedOn w:val="DefaultParagraphFont"/>
    <w:link w:val="Quote"/>
    <w:uiPriority w:val="29"/>
    <w:rsid w:val="0065555D"/>
    <w:rPr>
      <w:rFonts w:asciiTheme="minorHAnsi" w:eastAsiaTheme="minorEastAsia" w:hAnsiTheme="minorHAnsi"/>
      <w:i/>
      <w:iCs/>
      <w:lang w:bidi="en-US"/>
    </w:rPr>
  </w:style>
  <w:style w:type="paragraph" w:styleId="IntenseQuote">
    <w:name w:val="Intense Quote"/>
    <w:basedOn w:val="Normal"/>
    <w:next w:val="Normal"/>
    <w:link w:val="IntenseQuoteChar"/>
    <w:uiPriority w:val="30"/>
    <w:qFormat/>
    <w:rsid w:val="0065555D"/>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65555D"/>
    <w:rPr>
      <w:rFonts w:asciiTheme="minorHAnsi" w:eastAsiaTheme="minorEastAsia" w:hAnsiTheme="minorHAnsi"/>
      <w:b/>
      <w:bCs/>
      <w:i/>
      <w:iCs/>
      <w:lang w:bidi="en-US"/>
    </w:rPr>
  </w:style>
  <w:style w:type="character" w:styleId="SubtleEmphasis">
    <w:name w:val="Subtle Emphasis"/>
    <w:uiPriority w:val="19"/>
    <w:qFormat/>
    <w:rsid w:val="0065555D"/>
    <w:rPr>
      <w:i/>
      <w:iCs/>
    </w:rPr>
  </w:style>
  <w:style w:type="character" w:styleId="IntenseEmphasis">
    <w:name w:val="Intense Emphasis"/>
    <w:uiPriority w:val="21"/>
    <w:qFormat/>
    <w:rsid w:val="0065555D"/>
    <w:rPr>
      <w:b/>
      <w:bCs/>
    </w:rPr>
  </w:style>
  <w:style w:type="character" w:styleId="SubtleReference">
    <w:name w:val="Subtle Reference"/>
    <w:uiPriority w:val="31"/>
    <w:qFormat/>
    <w:rsid w:val="0065555D"/>
    <w:rPr>
      <w:smallCaps/>
    </w:rPr>
  </w:style>
  <w:style w:type="character" w:styleId="IntenseReference">
    <w:name w:val="Intense Reference"/>
    <w:uiPriority w:val="32"/>
    <w:qFormat/>
    <w:rsid w:val="0065555D"/>
    <w:rPr>
      <w:smallCaps/>
      <w:spacing w:val="5"/>
      <w:u w:val="single"/>
    </w:rPr>
  </w:style>
  <w:style w:type="character" w:styleId="BookTitle">
    <w:name w:val="Book Title"/>
    <w:uiPriority w:val="33"/>
    <w:qFormat/>
    <w:rsid w:val="0065555D"/>
    <w:rPr>
      <w:i/>
      <w:iCs/>
      <w:smallCaps/>
      <w:spacing w:val="5"/>
    </w:rPr>
  </w:style>
  <w:style w:type="paragraph" w:styleId="TOCHeading">
    <w:name w:val="TOC Heading"/>
    <w:basedOn w:val="Heading1"/>
    <w:next w:val="Normal"/>
    <w:uiPriority w:val="39"/>
    <w:semiHidden/>
    <w:unhideWhenUsed/>
    <w:qFormat/>
    <w:rsid w:val="0065555D"/>
    <w:pPr>
      <w:outlineLvl w:val="9"/>
    </w:pPr>
  </w:style>
  <w:style w:type="table" w:styleId="TableGrid">
    <w:name w:val="Table Grid"/>
    <w:basedOn w:val="TableNormal"/>
    <w:uiPriority w:val="59"/>
    <w:rsid w:val="0065555D"/>
    <w:pPr>
      <w:spacing w:after="0" w:line="240" w:lineRule="auto"/>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5555D"/>
    <w:rPr>
      <w:color w:val="808080"/>
    </w:rPr>
  </w:style>
  <w:style w:type="paragraph" w:styleId="PlainText">
    <w:name w:val="Plain Text"/>
    <w:basedOn w:val="Normal"/>
    <w:link w:val="PlainTextChar"/>
    <w:uiPriority w:val="99"/>
    <w:unhideWhenUsed/>
    <w:rsid w:val="0065555D"/>
    <w:pPr>
      <w:spacing w:after="0" w:line="240" w:lineRule="auto"/>
      <w:contextualSpacing w:val="0"/>
      <w:jc w:val="left"/>
    </w:pPr>
    <w:rPr>
      <w:rFonts w:ascii="Consolas" w:hAnsi="Consolas"/>
      <w:sz w:val="21"/>
      <w:szCs w:val="21"/>
    </w:rPr>
  </w:style>
  <w:style w:type="character" w:customStyle="1" w:styleId="PlainTextChar">
    <w:name w:val="Plain Text Char"/>
    <w:basedOn w:val="DefaultParagraphFont"/>
    <w:link w:val="PlainText"/>
    <w:uiPriority w:val="99"/>
    <w:rsid w:val="0065555D"/>
    <w:rPr>
      <w:rFonts w:ascii="Consolas" w:hAnsi="Consolas"/>
      <w:sz w:val="21"/>
      <w:szCs w:val="21"/>
    </w:rPr>
  </w:style>
  <w:style w:type="character" w:styleId="Hyperlink">
    <w:name w:val="Hyperlink"/>
    <w:basedOn w:val="DefaultParagraphFont"/>
    <w:uiPriority w:val="99"/>
    <w:unhideWhenUsed/>
    <w:rsid w:val="0065555D"/>
    <w:rPr>
      <w:color w:val="0563C1" w:themeColor="hyperlink"/>
      <w:u w:val="single"/>
    </w:rPr>
  </w:style>
  <w:style w:type="character" w:styleId="FollowedHyperlink">
    <w:name w:val="FollowedHyperlink"/>
    <w:basedOn w:val="DefaultParagraphFont"/>
    <w:uiPriority w:val="99"/>
    <w:semiHidden/>
    <w:unhideWhenUsed/>
    <w:rsid w:val="0065555D"/>
    <w:rPr>
      <w:color w:val="954F72" w:themeColor="followedHyperlink"/>
      <w:u w:val="single"/>
    </w:rPr>
  </w:style>
  <w:style w:type="paragraph" w:customStyle="1" w:styleId="EndNoteBibliographyTitle">
    <w:name w:val="EndNote Bibliography Title"/>
    <w:basedOn w:val="Normal"/>
    <w:link w:val="EndNoteBibliographyTitleChar"/>
    <w:rsid w:val="0065555D"/>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65555D"/>
    <w:rPr>
      <w:rFonts w:eastAsiaTheme="minorEastAsia" w:cs="Times New Roman"/>
      <w:noProof/>
      <w:lang w:bidi="en-US"/>
    </w:rPr>
  </w:style>
  <w:style w:type="paragraph" w:customStyle="1" w:styleId="EndNoteBibliography">
    <w:name w:val="EndNote Bibliography"/>
    <w:basedOn w:val="Normal"/>
    <w:link w:val="EndNoteBibliographyChar"/>
    <w:rsid w:val="0065555D"/>
    <w:pPr>
      <w:spacing w:line="240" w:lineRule="auto"/>
    </w:pPr>
    <w:rPr>
      <w:rFonts w:cs="Times New Roman"/>
      <w:noProof/>
    </w:rPr>
  </w:style>
  <w:style w:type="character" w:customStyle="1" w:styleId="EndNoteBibliographyChar">
    <w:name w:val="EndNote Bibliography Char"/>
    <w:basedOn w:val="DefaultParagraphFont"/>
    <w:link w:val="EndNoteBibliography"/>
    <w:rsid w:val="0065555D"/>
    <w:rPr>
      <w:rFonts w:eastAsiaTheme="minorEastAsia" w:cs="Times New Roman"/>
      <w:noProof/>
      <w:lang w:bidi="en-US"/>
    </w:rPr>
  </w:style>
  <w:style w:type="character" w:styleId="CommentReference">
    <w:name w:val="annotation reference"/>
    <w:basedOn w:val="DefaultParagraphFont"/>
    <w:uiPriority w:val="99"/>
    <w:semiHidden/>
    <w:unhideWhenUsed/>
    <w:rsid w:val="0065555D"/>
    <w:rPr>
      <w:sz w:val="18"/>
      <w:szCs w:val="18"/>
    </w:rPr>
  </w:style>
  <w:style w:type="paragraph" w:styleId="CommentText">
    <w:name w:val="annotation text"/>
    <w:basedOn w:val="Normal"/>
    <w:link w:val="CommentTextChar"/>
    <w:uiPriority w:val="99"/>
    <w:semiHidden/>
    <w:unhideWhenUsed/>
    <w:rsid w:val="0065555D"/>
    <w:pPr>
      <w:spacing w:line="240" w:lineRule="auto"/>
    </w:pPr>
    <w:rPr>
      <w:szCs w:val="24"/>
    </w:rPr>
  </w:style>
  <w:style w:type="character" w:customStyle="1" w:styleId="CommentTextChar">
    <w:name w:val="Comment Text Char"/>
    <w:basedOn w:val="DefaultParagraphFont"/>
    <w:link w:val="CommentText"/>
    <w:uiPriority w:val="99"/>
    <w:semiHidden/>
    <w:rsid w:val="0065555D"/>
    <w:rPr>
      <w:rFonts w:asciiTheme="minorHAnsi" w:eastAsiaTheme="minorEastAsia" w:hAnsiTheme="minorHAnsi"/>
      <w:szCs w:val="24"/>
      <w:lang w:bidi="en-US"/>
    </w:rPr>
  </w:style>
  <w:style w:type="paragraph" w:styleId="CommentSubject">
    <w:name w:val="annotation subject"/>
    <w:basedOn w:val="CommentText"/>
    <w:next w:val="CommentText"/>
    <w:link w:val="CommentSubjectChar"/>
    <w:uiPriority w:val="99"/>
    <w:semiHidden/>
    <w:unhideWhenUsed/>
    <w:rsid w:val="0065555D"/>
    <w:rPr>
      <w:b/>
      <w:bCs/>
      <w:sz w:val="20"/>
      <w:szCs w:val="20"/>
    </w:rPr>
  </w:style>
  <w:style w:type="character" w:customStyle="1" w:styleId="CommentSubjectChar">
    <w:name w:val="Comment Subject Char"/>
    <w:basedOn w:val="CommentTextChar"/>
    <w:link w:val="CommentSubject"/>
    <w:uiPriority w:val="99"/>
    <w:semiHidden/>
    <w:rsid w:val="0065555D"/>
    <w:rPr>
      <w:rFonts w:asciiTheme="minorHAnsi" w:eastAsiaTheme="minorEastAsia" w:hAnsiTheme="minorHAnsi"/>
      <w:b/>
      <w:bCs/>
      <w:sz w:val="20"/>
      <w:szCs w:val="20"/>
      <w:lang w:bidi="en-US"/>
    </w:rPr>
  </w:style>
  <w:style w:type="paragraph" w:styleId="Revision">
    <w:name w:val="Revision"/>
    <w:hidden/>
    <w:uiPriority w:val="99"/>
    <w:semiHidden/>
    <w:rsid w:val="0065555D"/>
    <w:pPr>
      <w:spacing w:after="0" w:line="240" w:lineRule="auto"/>
      <w:jc w:val="left"/>
    </w:pPr>
    <w:rPr>
      <w:rFonts w:asciiTheme="minorHAnsi" w:eastAsiaTheme="minorEastAsia" w:hAnsiTheme="minorHAnsi"/>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55D"/>
    <w:pPr>
      <w:spacing w:after="200" w:line="480" w:lineRule="auto"/>
      <w:contextualSpacing/>
    </w:pPr>
  </w:style>
  <w:style w:type="paragraph" w:styleId="Heading1">
    <w:name w:val="heading 1"/>
    <w:basedOn w:val="Normal"/>
    <w:next w:val="Normal"/>
    <w:link w:val="Heading1Char"/>
    <w:uiPriority w:val="9"/>
    <w:qFormat/>
    <w:rsid w:val="0065555D"/>
    <w:pPr>
      <w:numPr>
        <w:numId w:val="4"/>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5555D"/>
    <w:pPr>
      <w:numPr>
        <w:ilvl w:val="1"/>
        <w:numId w:val="4"/>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5555D"/>
    <w:pPr>
      <w:numPr>
        <w:ilvl w:val="2"/>
        <w:numId w:val="4"/>
      </w:numPr>
      <w:spacing w:before="200" w:after="0" w:line="271" w:lineRule="auto"/>
      <w:ind w:left="720"/>
      <w:outlineLvl w:val="2"/>
    </w:pPr>
    <w:rPr>
      <w:rFonts w:eastAsiaTheme="majorEastAsia" w:cstheme="majorBidi"/>
      <w:b/>
      <w:bCs/>
    </w:rPr>
  </w:style>
  <w:style w:type="paragraph" w:styleId="Heading4">
    <w:name w:val="heading 4"/>
    <w:basedOn w:val="Normal"/>
    <w:next w:val="Normal"/>
    <w:link w:val="Heading4Char"/>
    <w:uiPriority w:val="9"/>
    <w:unhideWhenUsed/>
    <w:qFormat/>
    <w:rsid w:val="0065555D"/>
    <w:pPr>
      <w:numPr>
        <w:ilvl w:val="3"/>
        <w:numId w:val="4"/>
      </w:num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65555D"/>
    <w:pPr>
      <w:numPr>
        <w:ilvl w:val="4"/>
        <w:numId w:val="4"/>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5555D"/>
    <w:pPr>
      <w:numPr>
        <w:ilvl w:val="5"/>
        <w:numId w:val="4"/>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5555D"/>
    <w:pPr>
      <w:numPr>
        <w:ilvl w:val="6"/>
        <w:numId w:val="4"/>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555D"/>
    <w:pPr>
      <w:numPr>
        <w:ilvl w:val="7"/>
        <w:numId w:val="4"/>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5555D"/>
    <w:pPr>
      <w:numPr>
        <w:ilvl w:val="8"/>
        <w:numId w:val="4"/>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55D"/>
    <w:rPr>
      <w:rFonts w:eastAsiaTheme="majorEastAsia" w:cstheme="majorBidi"/>
      <w:b/>
      <w:bCs/>
      <w:sz w:val="28"/>
      <w:szCs w:val="28"/>
    </w:rPr>
  </w:style>
  <w:style w:type="character" w:customStyle="1" w:styleId="Heading2Char">
    <w:name w:val="Heading 2 Char"/>
    <w:basedOn w:val="DefaultParagraphFont"/>
    <w:link w:val="Heading2"/>
    <w:uiPriority w:val="9"/>
    <w:rsid w:val="0065555D"/>
    <w:rPr>
      <w:rFonts w:eastAsiaTheme="majorEastAsia" w:cstheme="majorBidi"/>
      <w:b/>
      <w:bCs/>
      <w:sz w:val="26"/>
      <w:szCs w:val="26"/>
    </w:rPr>
  </w:style>
  <w:style w:type="character" w:customStyle="1" w:styleId="Heading3Char">
    <w:name w:val="Heading 3 Char"/>
    <w:basedOn w:val="DefaultParagraphFont"/>
    <w:link w:val="Heading3"/>
    <w:uiPriority w:val="9"/>
    <w:rsid w:val="0065555D"/>
    <w:rPr>
      <w:rFonts w:eastAsiaTheme="majorEastAsia" w:cstheme="majorBidi"/>
      <w:b/>
      <w:bCs/>
    </w:rPr>
  </w:style>
  <w:style w:type="character" w:customStyle="1" w:styleId="Heading4Char">
    <w:name w:val="Heading 4 Char"/>
    <w:basedOn w:val="DefaultParagraphFont"/>
    <w:link w:val="Heading4"/>
    <w:uiPriority w:val="9"/>
    <w:rsid w:val="0065555D"/>
    <w:rPr>
      <w:rFonts w:eastAsiaTheme="majorEastAsia" w:cstheme="majorBidi"/>
      <w:b/>
      <w:bCs/>
      <w:i/>
      <w:iCs/>
    </w:rPr>
  </w:style>
  <w:style w:type="character" w:customStyle="1" w:styleId="Heading5Char">
    <w:name w:val="Heading 5 Char"/>
    <w:basedOn w:val="DefaultParagraphFont"/>
    <w:link w:val="Heading5"/>
    <w:uiPriority w:val="9"/>
    <w:semiHidden/>
    <w:rsid w:val="0065555D"/>
    <w:rPr>
      <w:rFonts w:asciiTheme="majorHAnsi" w:eastAsiaTheme="majorEastAsia" w:hAnsiTheme="majorHAnsi" w:cstheme="majorBidi"/>
      <w:b/>
      <w:bCs/>
      <w:color w:val="7F7F7F" w:themeColor="text1" w:themeTint="80"/>
      <w:lang w:bidi="en-US"/>
    </w:rPr>
  </w:style>
  <w:style w:type="character" w:customStyle="1" w:styleId="Heading6Char">
    <w:name w:val="Heading 6 Char"/>
    <w:basedOn w:val="DefaultParagraphFont"/>
    <w:link w:val="Heading6"/>
    <w:uiPriority w:val="9"/>
    <w:semiHidden/>
    <w:rsid w:val="0065555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65555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65555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65555D"/>
    <w:rPr>
      <w:rFonts w:asciiTheme="majorHAnsi" w:eastAsiaTheme="majorEastAsia" w:hAnsiTheme="majorHAnsi" w:cstheme="majorBidi"/>
      <w:i/>
      <w:iCs/>
      <w:spacing w:val="5"/>
      <w:sz w:val="20"/>
      <w:szCs w:val="20"/>
      <w:lang w:bidi="en-US"/>
    </w:rPr>
  </w:style>
  <w:style w:type="paragraph" w:styleId="Caption">
    <w:name w:val="caption"/>
    <w:basedOn w:val="Normal"/>
    <w:next w:val="Normal"/>
    <w:uiPriority w:val="35"/>
    <w:unhideWhenUsed/>
    <w:qFormat/>
    <w:rsid w:val="0065555D"/>
    <w:pPr>
      <w:spacing w:line="240" w:lineRule="auto"/>
    </w:pPr>
    <w:rPr>
      <w:bCs/>
      <w:szCs w:val="18"/>
    </w:rPr>
  </w:style>
  <w:style w:type="paragraph" w:styleId="Header">
    <w:name w:val="header"/>
    <w:basedOn w:val="Normal"/>
    <w:link w:val="HeaderChar"/>
    <w:uiPriority w:val="99"/>
    <w:unhideWhenUsed/>
    <w:rsid w:val="00655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5D"/>
    <w:rPr>
      <w:rFonts w:asciiTheme="minorHAnsi" w:eastAsiaTheme="minorEastAsia" w:hAnsiTheme="minorHAnsi"/>
      <w:lang w:bidi="en-US"/>
    </w:rPr>
  </w:style>
  <w:style w:type="paragraph" w:styleId="Footer">
    <w:name w:val="footer"/>
    <w:basedOn w:val="Normal"/>
    <w:link w:val="FooterChar"/>
    <w:uiPriority w:val="99"/>
    <w:unhideWhenUsed/>
    <w:rsid w:val="00655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5D"/>
    <w:rPr>
      <w:rFonts w:asciiTheme="minorHAnsi" w:eastAsiaTheme="minorEastAsia" w:hAnsiTheme="minorHAnsi"/>
      <w:lang w:bidi="en-US"/>
    </w:rPr>
  </w:style>
  <w:style w:type="paragraph" w:styleId="NoSpacing">
    <w:name w:val="No Spacing"/>
    <w:basedOn w:val="Normal"/>
    <w:link w:val="NoSpacingChar"/>
    <w:uiPriority w:val="1"/>
    <w:qFormat/>
    <w:rsid w:val="0065555D"/>
    <w:pPr>
      <w:spacing w:after="0" w:line="240" w:lineRule="auto"/>
    </w:pPr>
  </w:style>
  <w:style w:type="character" w:customStyle="1" w:styleId="NoSpacingChar">
    <w:name w:val="No Spacing Char"/>
    <w:basedOn w:val="DefaultParagraphFont"/>
    <w:link w:val="NoSpacing"/>
    <w:uiPriority w:val="1"/>
    <w:rsid w:val="0065555D"/>
    <w:rPr>
      <w:rFonts w:asciiTheme="minorHAnsi" w:eastAsiaTheme="minorEastAsia" w:hAnsiTheme="minorHAnsi"/>
      <w:lang w:bidi="en-US"/>
    </w:rPr>
  </w:style>
  <w:style w:type="paragraph" w:styleId="BalloonText">
    <w:name w:val="Balloon Text"/>
    <w:basedOn w:val="Normal"/>
    <w:link w:val="BalloonTextChar"/>
    <w:uiPriority w:val="99"/>
    <w:semiHidden/>
    <w:unhideWhenUsed/>
    <w:rsid w:val="00655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5D"/>
    <w:rPr>
      <w:rFonts w:ascii="Tahoma" w:eastAsiaTheme="minorEastAsia" w:hAnsi="Tahoma" w:cs="Tahoma"/>
      <w:sz w:val="16"/>
      <w:szCs w:val="16"/>
      <w:lang w:bidi="en-US"/>
    </w:rPr>
  </w:style>
  <w:style w:type="paragraph" w:styleId="FootnoteText">
    <w:name w:val="footnote text"/>
    <w:basedOn w:val="Normal"/>
    <w:link w:val="FootnoteTextChar"/>
    <w:uiPriority w:val="99"/>
    <w:unhideWhenUsed/>
    <w:rsid w:val="0065555D"/>
    <w:pPr>
      <w:spacing w:after="0" w:line="240" w:lineRule="auto"/>
      <w:contextualSpacing w:val="0"/>
    </w:pPr>
    <w:rPr>
      <w:sz w:val="20"/>
      <w:szCs w:val="20"/>
    </w:rPr>
  </w:style>
  <w:style w:type="character" w:customStyle="1" w:styleId="FootnoteTextChar">
    <w:name w:val="Footnote Text Char"/>
    <w:basedOn w:val="DefaultParagraphFont"/>
    <w:link w:val="FootnoteText"/>
    <w:uiPriority w:val="99"/>
    <w:rsid w:val="0065555D"/>
    <w:rPr>
      <w:rFonts w:asciiTheme="minorHAnsi" w:eastAsiaTheme="minorEastAsia" w:hAnsiTheme="minorHAnsi"/>
      <w:sz w:val="20"/>
      <w:szCs w:val="20"/>
      <w:lang w:bidi="en-US"/>
    </w:rPr>
  </w:style>
  <w:style w:type="character" w:styleId="FootnoteReference">
    <w:name w:val="footnote reference"/>
    <w:basedOn w:val="DefaultParagraphFont"/>
    <w:uiPriority w:val="99"/>
    <w:unhideWhenUsed/>
    <w:rsid w:val="0065555D"/>
    <w:rPr>
      <w:vertAlign w:val="superscript"/>
    </w:rPr>
  </w:style>
  <w:style w:type="paragraph" w:styleId="Title">
    <w:name w:val="Title"/>
    <w:basedOn w:val="Normal"/>
    <w:next w:val="Normal"/>
    <w:link w:val="TitleChar"/>
    <w:uiPriority w:val="10"/>
    <w:qFormat/>
    <w:rsid w:val="0065555D"/>
    <w:pPr>
      <w:pBdr>
        <w:bottom w:val="single" w:sz="4" w:space="1" w:color="auto"/>
      </w:pBdr>
      <w:spacing w:line="240" w:lineRule="auto"/>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5555D"/>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11"/>
    <w:qFormat/>
    <w:rsid w:val="0065555D"/>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65555D"/>
    <w:rPr>
      <w:rFonts w:asciiTheme="majorHAnsi" w:eastAsiaTheme="majorEastAsia" w:hAnsiTheme="majorHAnsi" w:cstheme="majorBidi"/>
      <w:i/>
      <w:iCs/>
      <w:spacing w:val="13"/>
      <w:szCs w:val="24"/>
      <w:lang w:bidi="en-US"/>
    </w:rPr>
  </w:style>
  <w:style w:type="character" w:styleId="Strong">
    <w:name w:val="Strong"/>
    <w:uiPriority w:val="22"/>
    <w:qFormat/>
    <w:rsid w:val="0065555D"/>
    <w:rPr>
      <w:b/>
      <w:bCs/>
    </w:rPr>
  </w:style>
  <w:style w:type="character" w:styleId="Emphasis">
    <w:name w:val="Emphasis"/>
    <w:uiPriority w:val="20"/>
    <w:qFormat/>
    <w:rsid w:val="0065555D"/>
    <w:rPr>
      <w:b/>
      <w:bCs/>
      <w:i/>
      <w:iCs/>
      <w:spacing w:val="10"/>
      <w:bdr w:val="none" w:sz="0" w:space="0" w:color="auto"/>
      <w:shd w:val="clear" w:color="auto" w:fill="auto"/>
    </w:rPr>
  </w:style>
  <w:style w:type="paragraph" w:styleId="ListParagraph">
    <w:name w:val="List Paragraph"/>
    <w:basedOn w:val="Normal"/>
    <w:uiPriority w:val="34"/>
    <w:qFormat/>
    <w:rsid w:val="0065555D"/>
    <w:pPr>
      <w:ind w:left="720"/>
    </w:pPr>
  </w:style>
  <w:style w:type="paragraph" w:styleId="Quote">
    <w:name w:val="Quote"/>
    <w:basedOn w:val="Normal"/>
    <w:next w:val="Normal"/>
    <w:link w:val="QuoteChar"/>
    <w:uiPriority w:val="29"/>
    <w:qFormat/>
    <w:rsid w:val="0065555D"/>
    <w:pPr>
      <w:spacing w:before="200" w:after="0"/>
      <w:ind w:left="360" w:right="360"/>
    </w:pPr>
    <w:rPr>
      <w:i/>
      <w:iCs/>
    </w:rPr>
  </w:style>
  <w:style w:type="character" w:customStyle="1" w:styleId="QuoteChar">
    <w:name w:val="Quote Char"/>
    <w:basedOn w:val="DefaultParagraphFont"/>
    <w:link w:val="Quote"/>
    <w:uiPriority w:val="29"/>
    <w:rsid w:val="0065555D"/>
    <w:rPr>
      <w:rFonts w:asciiTheme="minorHAnsi" w:eastAsiaTheme="minorEastAsia" w:hAnsiTheme="minorHAnsi"/>
      <w:i/>
      <w:iCs/>
      <w:lang w:bidi="en-US"/>
    </w:rPr>
  </w:style>
  <w:style w:type="paragraph" w:styleId="IntenseQuote">
    <w:name w:val="Intense Quote"/>
    <w:basedOn w:val="Normal"/>
    <w:next w:val="Normal"/>
    <w:link w:val="IntenseQuoteChar"/>
    <w:uiPriority w:val="30"/>
    <w:qFormat/>
    <w:rsid w:val="0065555D"/>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65555D"/>
    <w:rPr>
      <w:rFonts w:asciiTheme="minorHAnsi" w:eastAsiaTheme="minorEastAsia" w:hAnsiTheme="minorHAnsi"/>
      <w:b/>
      <w:bCs/>
      <w:i/>
      <w:iCs/>
      <w:lang w:bidi="en-US"/>
    </w:rPr>
  </w:style>
  <w:style w:type="character" w:styleId="SubtleEmphasis">
    <w:name w:val="Subtle Emphasis"/>
    <w:uiPriority w:val="19"/>
    <w:qFormat/>
    <w:rsid w:val="0065555D"/>
    <w:rPr>
      <w:i/>
      <w:iCs/>
    </w:rPr>
  </w:style>
  <w:style w:type="character" w:styleId="IntenseEmphasis">
    <w:name w:val="Intense Emphasis"/>
    <w:uiPriority w:val="21"/>
    <w:qFormat/>
    <w:rsid w:val="0065555D"/>
    <w:rPr>
      <w:b/>
      <w:bCs/>
    </w:rPr>
  </w:style>
  <w:style w:type="character" w:styleId="SubtleReference">
    <w:name w:val="Subtle Reference"/>
    <w:uiPriority w:val="31"/>
    <w:qFormat/>
    <w:rsid w:val="0065555D"/>
    <w:rPr>
      <w:smallCaps/>
    </w:rPr>
  </w:style>
  <w:style w:type="character" w:styleId="IntenseReference">
    <w:name w:val="Intense Reference"/>
    <w:uiPriority w:val="32"/>
    <w:qFormat/>
    <w:rsid w:val="0065555D"/>
    <w:rPr>
      <w:smallCaps/>
      <w:spacing w:val="5"/>
      <w:u w:val="single"/>
    </w:rPr>
  </w:style>
  <w:style w:type="character" w:styleId="BookTitle">
    <w:name w:val="Book Title"/>
    <w:uiPriority w:val="33"/>
    <w:qFormat/>
    <w:rsid w:val="0065555D"/>
    <w:rPr>
      <w:i/>
      <w:iCs/>
      <w:smallCaps/>
      <w:spacing w:val="5"/>
    </w:rPr>
  </w:style>
  <w:style w:type="paragraph" w:styleId="TOCHeading">
    <w:name w:val="TOC Heading"/>
    <w:basedOn w:val="Heading1"/>
    <w:next w:val="Normal"/>
    <w:uiPriority w:val="39"/>
    <w:semiHidden/>
    <w:unhideWhenUsed/>
    <w:qFormat/>
    <w:rsid w:val="0065555D"/>
    <w:pPr>
      <w:outlineLvl w:val="9"/>
    </w:pPr>
  </w:style>
  <w:style w:type="table" w:styleId="TableGrid">
    <w:name w:val="Table Grid"/>
    <w:basedOn w:val="TableNormal"/>
    <w:uiPriority w:val="59"/>
    <w:rsid w:val="0065555D"/>
    <w:pPr>
      <w:spacing w:after="0" w:line="240" w:lineRule="auto"/>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5555D"/>
    <w:rPr>
      <w:color w:val="808080"/>
    </w:rPr>
  </w:style>
  <w:style w:type="paragraph" w:styleId="PlainText">
    <w:name w:val="Plain Text"/>
    <w:basedOn w:val="Normal"/>
    <w:link w:val="PlainTextChar"/>
    <w:uiPriority w:val="99"/>
    <w:unhideWhenUsed/>
    <w:rsid w:val="0065555D"/>
    <w:pPr>
      <w:spacing w:after="0" w:line="240" w:lineRule="auto"/>
      <w:contextualSpacing w:val="0"/>
      <w:jc w:val="left"/>
    </w:pPr>
    <w:rPr>
      <w:rFonts w:ascii="Consolas" w:hAnsi="Consolas"/>
      <w:sz w:val="21"/>
      <w:szCs w:val="21"/>
    </w:rPr>
  </w:style>
  <w:style w:type="character" w:customStyle="1" w:styleId="PlainTextChar">
    <w:name w:val="Plain Text Char"/>
    <w:basedOn w:val="DefaultParagraphFont"/>
    <w:link w:val="PlainText"/>
    <w:uiPriority w:val="99"/>
    <w:rsid w:val="0065555D"/>
    <w:rPr>
      <w:rFonts w:ascii="Consolas" w:hAnsi="Consolas"/>
      <w:sz w:val="21"/>
      <w:szCs w:val="21"/>
    </w:rPr>
  </w:style>
  <w:style w:type="character" w:styleId="Hyperlink">
    <w:name w:val="Hyperlink"/>
    <w:basedOn w:val="DefaultParagraphFont"/>
    <w:uiPriority w:val="99"/>
    <w:unhideWhenUsed/>
    <w:rsid w:val="0065555D"/>
    <w:rPr>
      <w:color w:val="0563C1" w:themeColor="hyperlink"/>
      <w:u w:val="single"/>
    </w:rPr>
  </w:style>
  <w:style w:type="character" w:styleId="FollowedHyperlink">
    <w:name w:val="FollowedHyperlink"/>
    <w:basedOn w:val="DefaultParagraphFont"/>
    <w:uiPriority w:val="99"/>
    <w:semiHidden/>
    <w:unhideWhenUsed/>
    <w:rsid w:val="0065555D"/>
    <w:rPr>
      <w:color w:val="954F72" w:themeColor="followedHyperlink"/>
      <w:u w:val="single"/>
    </w:rPr>
  </w:style>
  <w:style w:type="paragraph" w:customStyle="1" w:styleId="EndNoteBibliographyTitle">
    <w:name w:val="EndNote Bibliography Title"/>
    <w:basedOn w:val="Normal"/>
    <w:link w:val="EndNoteBibliographyTitleChar"/>
    <w:rsid w:val="0065555D"/>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65555D"/>
    <w:rPr>
      <w:rFonts w:eastAsiaTheme="minorEastAsia" w:cs="Times New Roman"/>
      <w:noProof/>
      <w:lang w:bidi="en-US"/>
    </w:rPr>
  </w:style>
  <w:style w:type="paragraph" w:customStyle="1" w:styleId="EndNoteBibliography">
    <w:name w:val="EndNote Bibliography"/>
    <w:basedOn w:val="Normal"/>
    <w:link w:val="EndNoteBibliographyChar"/>
    <w:rsid w:val="0065555D"/>
    <w:pPr>
      <w:spacing w:line="240" w:lineRule="auto"/>
    </w:pPr>
    <w:rPr>
      <w:rFonts w:cs="Times New Roman"/>
      <w:noProof/>
    </w:rPr>
  </w:style>
  <w:style w:type="character" w:customStyle="1" w:styleId="EndNoteBibliographyChar">
    <w:name w:val="EndNote Bibliography Char"/>
    <w:basedOn w:val="DefaultParagraphFont"/>
    <w:link w:val="EndNoteBibliography"/>
    <w:rsid w:val="0065555D"/>
    <w:rPr>
      <w:rFonts w:eastAsiaTheme="minorEastAsia" w:cs="Times New Roman"/>
      <w:noProof/>
      <w:lang w:bidi="en-US"/>
    </w:rPr>
  </w:style>
  <w:style w:type="character" w:styleId="CommentReference">
    <w:name w:val="annotation reference"/>
    <w:basedOn w:val="DefaultParagraphFont"/>
    <w:uiPriority w:val="99"/>
    <w:semiHidden/>
    <w:unhideWhenUsed/>
    <w:rsid w:val="0065555D"/>
    <w:rPr>
      <w:sz w:val="18"/>
      <w:szCs w:val="18"/>
    </w:rPr>
  </w:style>
  <w:style w:type="paragraph" w:styleId="CommentText">
    <w:name w:val="annotation text"/>
    <w:basedOn w:val="Normal"/>
    <w:link w:val="CommentTextChar"/>
    <w:uiPriority w:val="99"/>
    <w:semiHidden/>
    <w:unhideWhenUsed/>
    <w:rsid w:val="0065555D"/>
    <w:pPr>
      <w:spacing w:line="240" w:lineRule="auto"/>
    </w:pPr>
    <w:rPr>
      <w:szCs w:val="24"/>
    </w:rPr>
  </w:style>
  <w:style w:type="character" w:customStyle="1" w:styleId="CommentTextChar">
    <w:name w:val="Comment Text Char"/>
    <w:basedOn w:val="DefaultParagraphFont"/>
    <w:link w:val="CommentText"/>
    <w:uiPriority w:val="99"/>
    <w:semiHidden/>
    <w:rsid w:val="0065555D"/>
    <w:rPr>
      <w:rFonts w:asciiTheme="minorHAnsi" w:eastAsiaTheme="minorEastAsia" w:hAnsiTheme="minorHAnsi"/>
      <w:szCs w:val="24"/>
      <w:lang w:bidi="en-US"/>
    </w:rPr>
  </w:style>
  <w:style w:type="paragraph" w:styleId="CommentSubject">
    <w:name w:val="annotation subject"/>
    <w:basedOn w:val="CommentText"/>
    <w:next w:val="CommentText"/>
    <w:link w:val="CommentSubjectChar"/>
    <w:uiPriority w:val="99"/>
    <w:semiHidden/>
    <w:unhideWhenUsed/>
    <w:rsid w:val="0065555D"/>
    <w:rPr>
      <w:b/>
      <w:bCs/>
      <w:sz w:val="20"/>
      <w:szCs w:val="20"/>
    </w:rPr>
  </w:style>
  <w:style w:type="character" w:customStyle="1" w:styleId="CommentSubjectChar">
    <w:name w:val="Comment Subject Char"/>
    <w:basedOn w:val="CommentTextChar"/>
    <w:link w:val="CommentSubject"/>
    <w:uiPriority w:val="99"/>
    <w:semiHidden/>
    <w:rsid w:val="0065555D"/>
    <w:rPr>
      <w:rFonts w:asciiTheme="minorHAnsi" w:eastAsiaTheme="minorEastAsia" w:hAnsiTheme="minorHAnsi"/>
      <w:b/>
      <w:bCs/>
      <w:sz w:val="20"/>
      <w:szCs w:val="20"/>
      <w:lang w:bidi="en-US"/>
    </w:rPr>
  </w:style>
  <w:style w:type="paragraph" w:styleId="Revision">
    <w:name w:val="Revision"/>
    <w:hidden/>
    <w:uiPriority w:val="99"/>
    <w:semiHidden/>
    <w:rsid w:val="0065555D"/>
    <w:pPr>
      <w:spacing w:after="0" w:line="240" w:lineRule="auto"/>
      <w:jc w:val="left"/>
    </w:pPr>
    <w:rPr>
      <w:rFonts w:asciiTheme="minorHAnsi" w:eastAsiaTheme="minorEastAsia" w:hAnsiTheme="minorHAns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7</Pages>
  <Words>13425</Words>
  <Characters>74381</Characters>
  <Application>Microsoft Macintosh Word</Application>
  <DocSecurity>0</DocSecurity>
  <Lines>2754</Lines>
  <Paragraphs>1868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85938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Yildiray Yildirim</cp:lastModifiedBy>
  <cp:revision>22</cp:revision>
  <dcterms:created xsi:type="dcterms:W3CDTF">2016-09-06T15:16:00Z</dcterms:created>
  <dcterms:modified xsi:type="dcterms:W3CDTF">2016-09-08T14:09:00Z</dcterms:modified>
  <cp:category/>
</cp:coreProperties>
</file>